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ind w:left="0" w:firstLine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Optimización del uso de red móvil y migración tecnológica en CABA </w:t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9eqw5p1d5av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Contexto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8tcm65k9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Definición del problema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eotxr1lc2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 principal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rmn94su2e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Objetivos secundarios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wgri5ysa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Preguntas planteadas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6lh4c6pc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Identificación de zonas críticas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quqy4ovt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Caracterización de usuarios no migrados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06hrfvh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Impacto de la migración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d7y5zi19k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Modelo conceptual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sesqhtuc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7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1"/>
        <w:ind w:left="-5" w:firstLine="0"/>
        <w:rPr/>
      </w:pPr>
      <w:bookmarkStart w:colFirst="0" w:colLast="0" w:name="_9eqw5p1d5avl" w:id="0"/>
      <w:bookmarkEnd w:id="0"/>
      <w:r w:rsidDel="00000000" w:rsidR="00000000" w:rsidRPr="00000000">
        <w:rPr>
          <w:rtl w:val="0"/>
        </w:rPr>
        <w:t xml:space="preserve">1. Contexto </w:t>
      </w:r>
    </w:p>
    <w:p w:rsidR="00000000" w:rsidDel="00000000" w:rsidP="00000000" w:rsidRDefault="00000000" w:rsidRPr="00000000" w14:paraId="0000002A">
      <w:pPr>
        <w:spacing w:after="248" w:lineRule="auto"/>
        <w:ind w:right="193"/>
        <w:rPr/>
      </w:pPr>
      <w:r w:rsidDel="00000000" w:rsidR="00000000" w:rsidRPr="00000000">
        <w:rPr>
          <w:rtl w:val="0"/>
        </w:rPr>
        <w:t xml:space="preserve">La red móvil en la Ciudad Autónoma de Buenos Aires está en constante transformación tecnológica. En los últimos años, los operadores comenzaron el apagado progresivo de las redes 2G, obligando a los usuarios a migrar a tecnologías más modernas (4G y 5G). </w:t>
      </w:r>
    </w:p>
    <w:p w:rsidR="00000000" w:rsidDel="00000000" w:rsidP="00000000" w:rsidRDefault="00000000" w:rsidRPr="00000000" w14:paraId="0000002B">
      <w:pPr>
        <w:spacing w:after="248" w:lineRule="auto"/>
        <w:ind w:right="193"/>
        <w:rPr/>
      </w:pPr>
      <w:r w:rsidDel="00000000" w:rsidR="00000000" w:rsidRPr="00000000">
        <w:rPr>
          <w:rtl w:val="0"/>
        </w:rPr>
        <w:t xml:space="preserve">Sin embargo, aún existe un número considerable de personas que continúan utilizando dispositivos y planes obsoletos. Esta situación genera cuellos de botella en zonas críticas, baja calidad de servicio y dificulta la gestión eficiente de los recursos de red. Al mismo tiempo, se abren oportunidades para ofrecer beneficios personalizados que aceleran la migración tecnológica y mejoren la experiencia de uso. </w:t>
      </w:r>
    </w:p>
    <w:p w:rsidR="00000000" w:rsidDel="00000000" w:rsidP="00000000" w:rsidRDefault="00000000" w:rsidRPr="00000000" w14:paraId="0000002C">
      <w:pPr>
        <w:spacing w:after="325" w:lineRule="auto"/>
        <w:ind w:right="193"/>
        <w:rPr/>
      </w:pPr>
      <w:r w:rsidDel="00000000" w:rsidR="00000000" w:rsidRPr="00000000">
        <w:rPr>
          <w:rtl w:val="0"/>
        </w:rPr>
        <w:t xml:space="preserve">La información para este análisis puede obtenerse parcialmente de fuentes abiertas como ENACOM, INDEC, portales de datos abiertos (Buenos Aires Data, datos.gob.ar) y operadores de red móvil. </w:t>
      </w:r>
    </w:p>
    <w:p w:rsidR="00000000" w:rsidDel="00000000" w:rsidP="00000000" w:rsidRDefault="00000000" w:rsidRPr="00000000" w14:paraId="0000002D">
      <w:pPr>
        <w:pStyle w:val="Heading1"/>
        <w:ind w:left="-5" w:firstLine="0"/>
        <w:rPr/>
      </w:pPr>
      <w:bookmarkStart w:colFirst="0" w:colLast="0" w:name="_7l8tcm65k9xm" w:id="1"/>
      <w:bookmarkEnd w:id="1"/>
      <w:r w:rsidDel="00000000" w:rsidR="00000000" w:rsidRPr="00000000">
        <w:rPr>
          <w:rtl w:val="0"/>
        </w:rPr>
        <w:t xml:space="preserve">2. Definición del problema </w:t>
      </w:r>
    </w:p>
    <w:p w:rsidR="00000000" w:rsidDel="00000000" w:rsidP="00000000" w:rsidRDefault="00000000" w:rsidRPr="00000000" w14:paraId="0000002E">
      <w:pPr>
        <w:spacing w:after="325" w:lineRule="auto"/>
        <w:ind w:right="193"/>
        <w:rPr/>
      </w:pPr>
      <w:r w:rsidDel="00000000" w:rsidR="00000000" w:rsidRPr="00000000">
        <w:rPr>
          <w:rtl w:val="0"/>
        </w:rPr>
        <w:t xml:space="preserve">La coexistencia de redes móviles obsoletas (2G) con redes modernas (4G/5G) genera ineficiencias técnicas, saturación en zonas de alta densidad de usuarios y un uso inadecuado de los recursos de red. A esto se suma una baja adopción tecnológica en ciertos perfiles de usuarios, producto de barreras económicas, técnicas o de desconocimiento. </w:t>
      </w:r>
    </w:p>
    <w:p w:rsidR="00000000" w:rsidDel="00000000" w:rsidP="00000000" w:rsidRDefault="00000000" w:rsidRPr="00000000" w14:paraId="0000002F">
      <w:pPr>
        <w:pStyle w:val="Heading1"/>
        <w:ind w:left="-5" w:firstLine="0"/>
        <w:rPr/>
      </w:pPr>
      <w:bookmarkStart w:colFirst="0" w:colLast="0" w:name="_hjeotxr1lc2v" w:id="2"/>
      <w:bookmarkEnd w:id="2"/>
      <w:r w:rsidDel="00000000" w:rsidR="00000000" w:rsidRPr="00000000">
        <w:rPr>
          <w:rtl w:val="0"/>
        </w:rPr>
        <w:t xml:space="preserve">3. Objetivo principal </w:t>
      </w:r>
    </w:p>
    <w:p w:rsidR="00000000" w:rsidDel="00000000" w:rsidP="00000000" w:rsidRDefault="00000000" w:rsidRPr="00000000" w14:paraId="00000030">
      <w:pPr>
        <w:spacing w:after="325" w:lineRule="auto"/>
        <w:ind w:right="193"/>
        <w:rPr/>
      </w:pPr>
      <w:r w:rsidDel="00000000" w:rsidR="00000000" w:rsidRPr="00000000">
        <w:rPr>
          <w:rtl w:val="0"/>
        </w:rPr>
        <w:t xml:space="preserve">Acelerar la migración de usuarios de redes 2G hacia redes 4G/5G en zonas críticas de la Ciudad de Buenos Aires, mejorando la eficiencia del servicio móvil mediante acciones basadas en analítica multidimensional y beneficios personalizados. </w:t>
      </w:r>
    </w:p>
    <w:p w:rsidR="00000000" w:rsidDel="00000000" w:rsidP="00000000" w:rsidRDefault="00000000" w:rsidRPr="00000000" w14:paraId="00000031">
      <w:pPr>
        <w:pStyle w:val="Heading1"/>
        <w:ind w:left="-5" w:firstLine="0"/>
        <w:rPr/>
      </w:pPr>
      <w:bookmarkStart w:colFirst="0" w:colLast="0" w:name="_7ormn94su2e2" w:id="3"/>
      <w:bookmarkEnd w:id="3"/>
      <w:r w:rsidDel="00000000" w:rsidR="00000000" w:rsidRPr="00000000">
        <w:rPr>
          <w:rtl w:val="0"/>
        </w:rPr>
        <w:t xml:space="preserve">4. Objetivos secundarios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05" w:right="193" w:hanging="360"/>
        <w:rPr/>
      </w:pPr>
      <w:r w:rsidDel="00000000" w:rsidR="00000000" w:rsidRPr="00000000">
        <w:rPr>
          <w:rtl w:val="0"/>
        </w:rPr>
        <w:t xml:space="preserve">Identificar comunas de la Ciudad de Buenos Aires donde más del 60% de las conexiones móviles activas se realizan a través de redes 2G (consideradas tecnologías obsoletas), utilizando datos por tecnología y zona.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5" w:right="1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05" w:right="193" w:hanging="360"/>
        <w:rPr/>
      </w:pPr>
      <w:r w:rsidDel="00000000" w:rsidR="00000000" w:rsidRPr="00000000">
        <w:rPr>
          <w:rtl w:val="0"/>
        </w:rPr>
        <w:t xml:space="preserve">Evaluar el impacto de la migración en el uso de red y calidad del servicio. </w:t>
      </w:r>
    </w:p>
    <w:p w:rsidR="00000000" w:rsidDel="00000000" w:rsidP="00000000" w:rsidRDefault="00000000" w:rsidRPr="00000000" w14:paraId="00000035">
      <w:pPr>
        <w:spacing w:after="325" w:lineRule="auto"/>
        <w:ind w:left="0" w:right="1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-5" w:firstLine="0"/>
        <w:rPr/>
      </w:pPr>
      <w:bookmarkStart w:colFirst="0" w:colLast="0" w:name="_tcwgri5ysawc" w:id="4"/>
      <w:bookmarkEnd w:id="4"/>
      <w:r w:rsidDel="00000000" w:rsidR="00000000" w:rsidRPr="00000000">
        <w:rPr>
          <w:rtl w:val="0"/>
        </w:rPr>
        <w:t xml:space="preserve">5. Preguntas planteadas </w:t>
      </w:r>
    </w:p>
    <w:p w:rsidR="00000000" w:rsidDel="00000000" w:rsidP="00000000" w:rsidRDefault="00000000" w:rsidRPr="00000000" w14:paraId="00000037">
      <w:pPr>
        <w:pStyle w:val="Heading2"/>
        <w:spacing w:after="258" w:lineRule="auto"/>
        <w:ind w:left="-5" w:firstLine="0"/>
        <w:rPr/>
      </w:pPr>
      <w:bookmarkStart w:colFirst="0" w:colLast="0" w:name="_v36lh4c6pche" w:id="5"/>
      <w:bookmarkEnd w:id="5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Identificación de zonas críticas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05" w:right="193" w:hanging="360"/>
        <w:rPr/>
      </w:pPr>
      <w:r w:rsidDel="00000000" w:rsidR="00000000" w:rsidRPr="00000000">
        <w:rPr>
          <w:rtl w:val="0"/>
        </w:rPr>
        <w:t xml:space="preserve">¿Qué porcentaje de conexiones por comuna/barrio se realiza en redes 2G? </w:t>
      </w:r>
    </w:p>
    <w:p w:rsidR="00000000" w:rsidDel="00000000" w:rsidP="00000000" w:rsidRDefault="00000000" w:rsidRPr="00000000" w14:paraId="00000039">
      <w:pPr>
        <w:spacing w:after="18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05" w:right="193" w:hanging="360"/>
        <w:rPr/>
      </w:pPr>
      <w:r w:rsidDel="00000000" w:rsidR="00000000" w:rsidRPr="00000000">
        <w:rPr>
          <w:rtl w:val="0"/>
        </w:rPr>
        <w:t xml:space="preserve">¿Cómo se distribuyen las antenas por tipo de red (2G, 4G, 5G) y proveedor en CABA? </w:t>
      </w:r>
    </w:p>
    <w:p w:rsidR="00000000" w:rsidDel="00000000" w:rsidP="00000000" w:rsidRDefault="00000000" w:rsidRPr="00000000" w14:paraId="0000003B">
      <w:pPr>
        <w:spacing w:after="248" w:lineRule="auto"/>
        <w:ind w:left="0" w:right="1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58" w:lineRule="auto"/>
        <w:ind w:left="-5" w:firstLine="0"/>
        <w:rPr/>
      </w:pPr>
      <w:bookmarkStart w:colFirst="0" w:colLast="0" w:name="_soquqy4ovtgo" w:id="6"/>
      <w:bookmarkEnd w:id="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Caracterización de usuarios no migrados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05" w:right="193" w:hanging="360"/>
        <w:rPr/>
      </w:pPr>
      <w:r w:rsidDel="00000000" w:rsidR="00000000" w:rsidRPr="00000000">
        <w:rPr>
          <w:rtl w:val="0"/>
        </w:rPr>
        <w:t xml:space="preserve">¿Qué porcentaje de dispositivos conectados a redes 2G no son compatibles con redes LTE (4G) o 5G, por comuna? </w:t>
      </w:r>
    </w:p>
    <w:p w:rsidR="00000000" w:rsidDel="00000000" w:rsidP="00000000" w:rsidRDefault="00000000" w:rsidRPr="00000000" w14:paraId="0000003E">
      <w:pPr>
        <w:spacing w:after="18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58" w:lineRule="auto"/>
        <w:ind w:left="-5" w:firstLine="0"/>
        <w:rPr/>
      </w:pPr>
      <w:bookmarkStart w:colFirst="0" w:colLast="0" w:name="_w006hrfvhhji" w:id="7"/>
      <w:bookmarkEnd w:id="7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Impacto de la migración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05" w:right="193" w:hanging="360"/>
        <w:rPr/>
      </w:pPr>
      <w:r w:rsidDel="00000000" w:rsidR="00000000" w:rsidRPr="00000000">
        <w:rPr>
          <w:rtl w:val="0"/>
        </w:rPr>
        <w:t xml:space="preserve">Cliente que, tras comenzar a utilizar redes 4G o 5G, no volvió a conectarse a redes 2G en un período posterior de análisis.</w:t>
      </w:r>
    </w:p>
    <w:p w:rsidR="00000000" w:rsidDel="00000000" w:rsidP="00000000" w:rsidRDefault="00000000" w:rsidRPr="00000000" w14:paraId="00000042">
      <w:pPr>
        <w:ind w:left="705" w:right="1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05" w:right="193" w:hanging="360"/>
        <w:rPr>
          <w:u w:val="none"/>
        </w:rPr>
      </w:pPr>
      <w:r w:rsidDel="00000000" w:rsidR="00000000" w:rsidRPr="00000000">
        <w:rPr>
          <w:rtl w:val="0"/>
        </w:rPr>
        <w:t xml:space="preserve">¿Cuántos clientes quedaron sin posibilidad de conexión debido al uso de dispositivos obsoletos?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8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05" w:right="193" w:hanging="360"/>
        <w:rPr/>
      </w:pPr>
      <w:r w:rsidDel="00000000" w:rsidR="00000000" w:rsidRPr="00000000">
        <w:rPr>
          <w:rtl w:val="0"/>
        </w:rPr>
        <w:t xml:space="preserve">¿Cómo evolucionó la tasa de fallas en la conexión de las celdas antes y luego de la migración?</w:t>
      </w:r>
    </w:p>
    <w:p w:rsidR="00000000" w:rsidDel="00000000" w:rsidP="00000000" w:rsidRDefault="00000000" w:rsidRPr="00000000" w14:paraId="00000046">
      <w:pPr>
        <w:spacing w:after="18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05" w:right="193" w:hanging="360"/>
        <w:rPr>
          <w:u w:val="none"/>
        </w:rPr>
      </w:pPr>
      <w:r w:rsidDel="00000000" w:rsidR="00000000" w:rsidRPr="00000000">
        <w:rPr>
          <w:rtl w:val="0"/>
        </w:rPr>
        <w:t xml:space="preserve">¿En qué franjas horarias se registra mayor saturación de red, en comparación con el promedio de uso, en zonas donde coexisten antenas 2G y 4G?</w:t>
      </w:r>
    </w:p>
    <w:p w:rsidR="00000000" w:rsidDel="00000000" w:rsidP="00000000" w:rsidRDefault="00000000" w:rsidRPr="00000000" w14:paraId="00000048">
      <w:pPr>
        <w:spacing w:after="258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-5" w:firstLine="0"/>
        <w:rPr/>
      </w:pPr>
      <w:bookmarkStart w:colFirst="0" w:colLast="0" w:name="_y4d7y5zi19kr" w:id="8"/>
      <w:bookmarkEnd w:id="8"/>
      <w:r w:rsidDel="00000000" w:rsidR="00000000" w:rsidRPr="00000000">
        <w:rPr>
          <w:rtl w:val="0"/>
        </w:rPr>
        <w:t xml:space="preserve">6. Modelo conceptual </w:t>
      </w:r>
    </w:p>
    <w:p w:rsidR="00000000" w:rsidDel="00000000" w:rsidP="00000000" w:rsidRDefault="00000000" w:rsidRPr="00000000" w14:paraId="0000004A">
      <w:pPr>
        <w:spacing w:after="250" w:lineRule="auto"/>
        <w:ind w:right="193"/>
        <w:rPr/>
      </w:pPr>
      <w:r w:rsidDel="00000000" w:rsidR="00000000" w:rsidRPr="00000000">
        <w:rPr>
          <w:rtl w:val="0"/>
        </w:rPr>
        <w:t xml:space="preserve">El Modelo conceptual está diseñado bajo un enfoque </w:t>
      </w:r>
      <w:r w:rsidDel="00000000" w:rsidR="00000000" w:rsidRPr="00000000">
        <w:rPr>
          <w:b w:val="1"/>
          <w:rtl w:val="0"/>
        </w:rPr>
        <w:t xml:space="preserve">multidimensional</w:t>
      </w:r>
      <w:r w:rsidDel="00000000" w:rsidR="00000000" w:rsidRPr="00000000">
        <w:rPr>
          <w:rtl w:val="0"/>
        </w:rPr>
        <w:t xml:space="preserve"> con: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8" w:line="259" w:lineRule="auto"/>
        <w:ind w:left="705" w:right="131" w:hanging="360"/>
      </w:pPr>
      <w:r w:rsidDel="00000000" w:rsidR="00000000" w:rsidRPr="00000000">
        <w:rPr>
          <w:b w:val="1"/>
          <w:rtl w:val="0"/>
        </w:rPr>
        <w:t xml:space="preserve">2 Tablas de hechos:</w:t>
      </w:r>
    </w:p>
    <w:p w:rsidR="00000000" w:rsidDel="00000000" w:rsidP="00000000" w:rsidRDefault="00000000" w:rsidRPr="00000000" w14:paraId="0000004C">
      <w:pPr>
        <w:spacing w:after="18" w:line="259" w:lineRule="auto"/>
        <w:ind w:left="705" w:right="13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Rule="auto"/>
        <w:ind w:left="720" w:right="193" w:hanging="360"/>
        <w:rPr/>
      </w:pPr>
      <w:r w:rsidDel="00000000" w:rsidR="00000000" w:rsidRPr="00000000">
        <w:rPr>
          <w:rtl w:val="0"/>
        </w:rPr>
        <w:t xml:space="preserve">Fact_StatusConexion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50" w:lineRule="auto"/>
        <w:ind w:left="720" w:right="193" w:hanging="360"/>
        <w:rPr/>
      </w:pPr>
      <w:r w:rsidDel="00000000" w:rsidR="00000000" w:rsidRPr="00000000">
        <w:rPr>
          <w:rtl w:val="0"/>
        </w:rPr>
        <w:t xml:space="preserve">Fact_UsoDispositivos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50" w:lineRule="auto"/>
        <w:ind w:left="720" w:right="1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59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18" w:line="259" w:lineRule="auto"/>
        <w:ind w:left="705" w:right="131" w:hanging="360"/>
        <w:rPr/>
      </w:pPr>
      <w:r w:rsidDel="00000000" w:rsidR="00000000" w:rsidRPr="00000000">
        <w:rPr>
          <w:b w:val="1"/>
          <w:rtl w:val="0"/>
        </w:rPr>
        <w:t xml:space="preserve">Dimensiones jerárquicas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2">
      <w:pPr>
        <w:spacing w:after="18" w:line="259" w:lineRule="auto"/>
        <w:ind w:left="705" w:right="1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Ubicación → Ciudad → Comuna → Barrio → Celda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→ Día → Semana →Mes → Trimestre → Año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18" w:line="259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Dispositivo → Modelo → Marca → Gama </w:t>
      </w:r>
    </w:p>
    <w:p w:rsidR="00000000" w:rsidDel="00000000" w:rsidP="00000000" w:rsidRDefault="00000000" w:rsidRPr="00000000" w14:paraId="00000056">
      <w:pPr>
        <w:spacing w:after="2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58" w:line="259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 de la fact: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ind w:left="0" w:right="131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r2mkovmskytk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Fact_StatusConexion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240" w:lineRule="auto"/>
        <w:ind w:left="705"/>
      </w:pPr>
      <w:r w:rsidDel="00000000" w:rsidR="00000000" w:rsidRPr="00000000">
        <w:rPr>
          <w:rtl w:val="0"/>
        </w:rPr>
        <w:t xml:space="preserve">Registra eventos relacionados con la </w:t>
      </w:r>
      <w:r w:rsidDel="00000000" w:rsidR="00000000" w:rsidRPr="00000000">
        <w:rPr>
          <w:b w:val="1"/>
          <w:rtl w:val="0"/>
        </w:rPr>
        <w:t xml:space="preserve">calidad de la conexión</w:t>
      </w:r>
      <w:r w:rsidDel="00000000" w:rsidR="00000000" w:rsidRPr="00000000">
        <w:rPr>
          <w:rtl w:val="0"/>
        </w:rPr>
        <w:t xml:space="preserve"> entre celdas, agregados en una </w:t>
      </w:r>
      <w:r w:rsidDel="00000000" w:rsidR="00000000" w:rsidRPr="00000000">
        <w:rPr>
          <w:b w:val="1"/>
          <w:rtl w:val="0"/>
        </w:rPr>
        <w:t xml:space="preserve">unidad temporal determinada</w:t>
      </w:r>
      <w:r w:rsidDel="00000000" w:rsidR="00000000" w:rsidRPr="00000000">
        <w:rPr>
          <w:rtl w:val="0"/>
        </w:rPr>
        <w:t xml:space="preserve"> (por ejemplo: hora, día).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ind w:left="0" w:right="131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5rzgs4xwwu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Fact_UsoDispositivos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240" w:lineRule="auto"/>
        <w:ind w:left="705"/>
      </w:pPr>
      <w:r w:rsidDel="00000000" w:rsidR="00000000" w:rsidRPr="00000000">
        <w:rPr>
          <w:rtl w:val="0"/>
        </w:rPr>
        <w:t xml:space="preserve">Registra eventos de </w:t>
      </w:r>
      <w:r w:rsidDel="00000000" w:rsidR="00000000" w:rsidRPr="00000000">
        <w:rPr>
          <w:b w:val="1"/>
          <w:rtl w:val="0"/>
        </w:rPr>
        <w:t xml:space="preserve">conexión entre un dispositivo y una celda</w:t>
      </w:r>
      <w:r w:rsidDel="00000000" w:rsidR="00000000" w:rsidRPr="00000000">
        <w:rPr>
          <w:rtl w:val="0"/>
        </w:rPr>
        <w:t xml:space="preserve">, identificando el </w:t>
      </w:r>
      <w:r w:rsidDel="00000000" w:rsidR="00000000" w:rsidRPr="00000000">
        <w:rPr>
          <w:b w:val="1"/>
          <w:rtl w:val="0"/>
        </w:rPr>
        <w:t xml:space="preserve">momento exacto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zona geográfica</w:t>
      </w:r>
      <w:r w:rsidDel="00000000" w:rsidR="00000000" w:rsidRPr="00000000">
        <w:rPr>
          <w:rtl w:val="0"/>
        </w:rPr>
        <w:t xml:space="preserve"> en la que ocurrió.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58" w:line="259" w:lineRule="auto"/>
        <w:ind w:left="0" w:right="431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406893" cy="5605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893" cy="560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9" w:lineRule="auto"/>
        <w:ind w:left="-5" w:right="1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-5" w:firstLine="0"/>
        <w:rPr/>
      </w:pPr>
      <w:bookmarkStart w:colFirst="0" w:colLast="0" w:name="_tcsesqhtuc1y" w:id="11"/>
      <w:bookmarkEnd w:id="11"/>
      <w:r w:rsidDel="00000000" w:rsidR="00000000" w:rsidRPr="00000000">
        <w:rPr>
          <w:rtl w:val="0"/>
        </w:rPr>
        <w:t xml:space="preserve">7. Modelo lógico </w:t>
      </w:r>
    </w:p>
    <w:p w:rsidR="00000000" w:rsidDel="00000000" w:rsidP="00000000" w:rsidRDefault="00000000" w:rsidRPr="00000000" w14:paraId="00000061">
      <w:pPr>
        <w:spacing w:after="248" w:lineRule="auto"/>
        <w:ind w:right="193"/>
        <w:rPr/>
      </w:pPr>
      <w:r w:rsidDel="00000000" w:rsidR="00000000" w:rsidRPr="00000000">
        <w:rPr>
          <w:rtl w:val="0"/>
        </w:rPr>
        <w:t xml:space="preserve">Este modelo representa un data warehouse centrado en el análisis de dispositivos móviles, su cobertura y los registraciones, con dimensiones normalizadas jerárquicamente para una mayor organización y eficiencia de almacenamiento. </w:t>
      </w:r>
    </w:p>
    <w:p w:rsidR="00000000" w:rsidDel="00000000" w:rsidP="00000000" w:rsidRDefault="00000000" w:rsidRPr="00000000" w14:paraId="00000062">
      <w:pPr>
        <w:spacing w:after="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61070" cy="726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07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6840" w:w="11920" w:orient="portrait"/>
      <w:pgMar w:bottom="753" w:top="1440" w:left="1260" w:right="1258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spacing w:after="0" w:line="259" w:lineRule="auto"/>
      <w:ind w:left="0" w:right="19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after="0" w:line="259" w:lineRule="auto"/>
      <w:ind w:left="0" w:right="19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0"/>
      <w:numFmt w:val="decimal"/>
      <w:lvlText w:val="%2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9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3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3" w:before="0" w:line="259" w:lineRule="auto"/>
      <w:ind w:left="10" w:right="0" w:hanging="10"/>
      <w:jc w:val="left"/>
    </w:pPr>
    <w:rPr>
      <w:rFonts w:ascii="Roboto Mono" w:cs="Roboto Mono" w:eastAsia="Roboto Mono" w:hAnsi="Roboto Mono"/>
      <w:b w:val="1"/>
      <w:i w:val="0"/>
      <w:smallCaps w:val="0"/>
      <w:strike w:val="0"/>
      <w:color w:val="434343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