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Guía de Layout — WN-SITE-CORE</w:t>
      </w:r>
    </w:p>
    <w:p>
      <w:pPr>
        <w:spacing w:after="60"/>
      </w:pPr>
      <w:r>
        <w:rPr>
          <w:color w:val="8C8B85"/>
          <w:sz w:val="22"/>
          <w:szCs w:val="22"/>
        </w:rPr>
        <w:t xml:space="preserve">PCB 4 capas · Reglas de diseño para ruteo y fabricación</w:t>
      </w:r>
    </w:p>
    <w:p>
      <w:pPr>
        <w:spacing w:after="200"/>
      </w:pPr>
      <w:r>
        <w:rPr>
          <w:b/>
          <w:bCs/>
          <w:color w:val="0F6E56"/>
          <w:sz w:val="20"/>
          <w:szCs w:val="20"/>
        </w:rPr>
        <w:t xml:space="preserve">wanomi · Área 3 — Hardware · Rev A — 2026-05-23</w:t>
      </w:r>
    </w:p>
    <w:p>
      <w:pPr>
        <w:spacing w:after="120"/>
      </w:pPr>
      <w:r>
        <w:rPr>
          <w:sz w:val="22"/>
          <w:szCs w:val="22"/>
        </w:rPr>
        <w:t xml:space="preserve">Este documento acompaña al esquemático y al BOM del WN-SITE-CORE. Define el stackup, las reglas de ruteo y las restricciones críticas para que el diseñador de PCB rutee la placa en KiCad y genere los Gerbers. El ruteo final debe validarse con DRC y el esquemático con ERC antes de fabricar.</w:t>
      </w:r>
    </w:p>
    <w:p>
      <w:pPr>
        <w:pStyle w:val="Heading1"/>
      </w:pPr>
      <w:r>
        <w:t xml:space="preserve">1. Stackup de 4 capas</w:t>
      </w:r>
    </w:p>
    <w:p>
      <w:pPr>
        <w:spacing w:after="120"/>
      </w:pPr>
      <w:r>
        <w:rPr>
          <w:sz w:val="22"/>
          <w:szCs w:val="22"/>
        </w:rPr>
        <w:t xml:space="preserve">Cuatro capas para resolver la barrera de aislación −48 V, dar plano de masa de referencia continuo (clave para EMC en entorno de torre) y rutear el par Ethernet con impedancia controlada.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 — 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Señal + componentes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oz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RF, analógico, microstrip de Ethernet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L2 — GND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masa sólido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oz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continua; no fragmentar bajo señales rápidas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Dieléctrico FR-4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≈1.0 mm, Tg ≥135 °C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— PWR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Planos +3V3 / +5V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oz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Separar islas; capacitores de stitching a GND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L4 — Bottom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Señal + E/S de campo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oz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RS-485, entradas opto, lado de campo</w:t>
            </w:r>
          </w:p>
        </w:tc>
      </w:tr>
    </w:tbl>
    <w:p>
      <w:pPr>
        <w:spacing w:after="120" w:before="6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Reglas generales de fabricación (JLCPCB)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Capas / espesor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/ 1.6 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 estándar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Acabado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Mejor para pads SMD finos y durabilidad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Ancho de pista mín.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 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Señal; 0.127 mm es el límite absoluto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Espaciado mín.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 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zona HV / −48 V: ver §3.1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 / 0.3 mm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Potencia: 1.0 / 0.5 mm, múltiples en paralelo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Máscara / serigrafía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Ambas caras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Rojo en zona HV; designador en cada componente</w:t>
            </w:r>
          </w:p>
        </w:tc>
      </w:tr>
    </w:tbl>
    <w:p>
      <w:pPr>
        <w:pStyle w:val="Heading1"/>
      </w:pPr>
      <w:r>
        <w:t xml:space="preserve">3. Reglas específicas del WN-SITE-CORE</w:t>
      </w:r>
    </w:p>
    <w:p>
      <w:pPr>
        <w:pStyle w:val="Heading2"/>
      </w:pPr>
      <w:r>
        <w:t xml:space="preserve">3.1 Barrera de aislación −48 V / campo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Separación mínima de 6 mm entre cobre del lado de campo (primario del DC-DC, RS-485 de bus) y el lado lógico.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Practicar un slot (ranura fresada) en la PCB a lo largo de la barrera para aumentar la distancia de fuga superficial.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Ningún plano de cobre (ni GND ni PWR) debe cruzar la barrera; las capas internas también se interrumpen en la barrera.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único cruce permitido es a través de los componentes aislados (DC-DC U1, ADM2483 U4, optoacopladores).</w:t>
      </w:r>
    </w:p>
    <w:p>
      <w:pPr>
        <w:pStyle w:val="Heading2"/>
      </w:pPr>
      <w:r>
        <w:t xml:space="preserve">3.2 Masas: GND lógico vs FGND de campo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GND lógico: plano sólido en L2, referencia única en estrella desde la salida secundaria del DC-DC.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FGND (campo): isla separada del primario; no unir a GND lógico salvo, si fuera necesario, por un único punto definido.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Separar el retorno analógico (ADS1115, front-ends) del retorno ruidoso del DC-DC y de la sección WiFi.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PE: barra de tierra del sitio; pantallas de cable a PE en un solo extremo (lado CORE).</w:t>
      </w:r>
    </w:p>
    <w:p>
      <w:pPr>
        <w:pStyle w:val="Heading2"/>
      </w:pPr>
      <w:r>
        <w:t xml:space="preserve">3.3 RF — antena del ESP32-S3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Ubicar el módulo ESP32-S3 en el borde de la placa con la antena cerámica sobresaliendo del contorno de cobre.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Keep-out de cobre de 5 × 10 mm (sin plano en NINGUNA capa) debajo y alrededor de la antena.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rutear pistas bajo la antena ni cerca de ella; alejar el switching del DC-DC.</w:t>
      </w:r>
    </w:p>
    <w:p>
      <w:pPr>
        <w:pStyle w:val="Heading2"/>
      </w:pPr>
      <w:r>
        <w:t xml:space="preserve">3.4 Ethernet (W5500 ↔ RJ45)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Pares diferenciales TX± y RX± con impedancia de 100 Ω ±10 %, longitudes apareadas.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Ruteo corto y directo, mínimo de vías, sobre plano de GND continuo (L2); no cruzar separaciones de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Magnetics integrados en el MagJack J3; ubicar J3 en borde, con Bob Smith + TVS hacia chassis/PE.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Alejar de la sección de conmutación del DC-DC y del cristal del W5500.</w:t>
      </w:r>
    </w:p>
    <w:p>
      <w:pPr>
        <w:pStyle w:val="Heading2"/>
      </w:pPr>
      <w:r>
        <w:t xml:space="preserve">3.5 Analógico — clamps / ADS1115 / 4-20 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Plano de GND analógico local bajo el ADS1115; filtros RC de las clamps lo más cerca posible de las entradas A0/A1.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 de bias a mitad de rango estable y referenciada al GND analógico.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Rsense del lazo 4-20 mA (150 Ω 0.1 %) cerca del conector X4, con protección serie + TVS a la entrada.</w:t>
      </w:r>
    </w:p>
    <w:p>
      <w:pPr>
        <w:pStyle w:val="Heading2"/>
      </w:pPr>
      <w:r>
        <w:t xml:space="preserve">3.6 Potencia y DC-DC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Anchos de pista: −48 V / 0 V ≥ 1.0 mm; +5 V / +3V3 ≥ 0.5 mm (ajustar por tabla de corriente IPC-2221).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Lazo de conmutación del DC-DC corto y compacto; capacitores de entrada y salida pegados al módulo.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Supercap de hold-up cerca de la salida +5 V del DC-DC, con su diodo ideal/Schottky.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Vías de potencia múltiples en paralelo para reducir resistencia e inductancia.</w:t>
      </w:r>
    </w:p>
    <w:p>
      <w:pPr>
        <w:pStyle w:val="Heading2"/>
      </w:pPr>
      <w:r>
        <w:t xml:space="preserve">3.7 Protecciones / EMC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TVS y GDT lo más cerca posible de los conectores de campo (primer elemento en el camino de la señal).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Capacitor de bypass 100 nF cerámico en el pin VCC de cada circuito integrado.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Ferritas en la alimentación de los sensores; varistor (MOV) en la entrada según el sitio.</w:t>
      </w:r>
    </w:p>
    <w:p>
      <w:pPr>
        <w:pStyle w:val="Heading1"/>
      </w:pPr>
      <w:r>
        <w:t xml:space="preserve">4. Floorplan / zonificación</w:t>
      </w:r>
    </w:p>
    <w:p>
      <w:pPr>
        <w:spacing w:after="120"/>
      </w:pPr>
      <w:r>
        <w:rPr>
          <w:sz w:val="22"/>
          <w:szCs w:val="22"/>
        </w:rPr>
        <w:t xml:space="preserve">Disposición física recomendada: el dominio de campo (−48 V) queda confinado a la izquierda de la barrera; la lógica, los sensores y el RF al lado seguro, con la antena en el borde y el Ethernet en el borde opuesto al switching.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Checklist DRC previo a Gerbers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Clearance ≥ 6 mm verificado en toda la barrera −48 V (incluye capas internas).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Keep-out de antena confirmado en las 4 capas.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Impedancia diferencial Ethernet 100 Ω validada con el calculador del stackup.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Anchos de pista de potencia según corriente (IPC-2221).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Separación de masas (GND lógico / FGND / analógico) y punto estrella único.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Fiduciales (3 por cara) y testpoints accesibles: +3V3, GND, UART, I²C, DATA de sensores.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Serigrafía con designador y valor en cada componente; polaridad marcada.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DRC con cero errores críticos en KiCad antes de exportar.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Generar: 7 Gerbers + Excellon drill + BOM + CPL/centroid (pick &amp; place).</w:t>
      </w:r>
    </w:p>
    <w:p>
      <w:pPr>
        <w:pStyle w:val="Heading1"/>
      </w:pPr>
      <w:r>
        <w:t xml:space="preserve">6. Entregables al fabricante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Gerbers RS-274X (cobre, máscara, serigrafía, contorno) — 7 archivos.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Archivo de taladros Excellon.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BOM (este proyecto) y CPL/centroid para montaje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Diagrama de stackup y reglas de impedancia (este documento).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Esquemático y diagrama de conexionado normalizado (documentos adjuntos).</w:t>
      </w:r>
    </w:p>
    <w:p>
      <w:pPr>
        <w:spacing w:before="160"/>
      </w:pPr>
      <w:r>
        <w:rPr>
          <w:i/>
          <w:iCs/>
          <w:color w:val="8C8B85"/>
          <w:sz w:val="20"/>
          <w:szCs w:val="20"/>
        </w:rPr>
        <w:t xml:space="preserve">Nota: el WN-SITE-CORE es de baja tensión aislada (no maneja 220 V ni actúa sobre el genset). Si el proveedor o Claro exigen plano sellado por matriculado, es una formalización aparte; el contenido técnico está completo en este paquete.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B85"/>
        <w:sz w:val="16"/>
        <w:szCs w:val="16"/>
      </w:rPr>
      <w:t xml:space="preserve">wanomi · WN-SITE-CORE · Guía de Layout · Rev A — </w:t>
    </w:r>
    <w:r>
      <w:rPr>
        <w:color w:val="8C8B85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72cde932596bc328c3462eb2278ea2ed2538a5b.png"/><Relationship Id="rId9" Type="http://schemas.openxmlformats.org/officeDocument/2006/relationships/image" Target="media/0fd8a0127d296ed4528461f49bddb87b6e28b2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2026-05-23T21:42:50.292Z</dcterms:created>
  <dcterms:modified xsi:type="dcterms:W3CDTF">2026-05-23T21:42:50.292Z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