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A7FC3">
      <w:pPr>
        <w:jc w:val="center"/>
        <w:rPr>
          <w:rFonts w:ascii="Times New Roman" w:hAnsi="Times New Roman" w:eastAsia="黑体" w:cs="Times New Roman"/>
          <w:sz w:val="32"/>
          <w:szCs w:val="40"/>
        </w:rPr>
      </w:pPr>
      <w:r>
        <w:rPr>
          <w:rFonts w:ascii="Times New Roman" w:hAnsi="Times New Roman" w:eastAsia="黑体" w:cs="Times New Roman"/>
          <w:sz w:val="32"/>
          <w:szCs w:val="40"/>
        </w:rPr>
        <w:t>202</w:t>
      </w:r>
      <w:r>
        <w:rPr>
          <w:rFonts w:hint="eastAsia" w:ascii="Times New Roman" w:hAnsi="Times New Roman" w:eastAsia="黑体" w:cs="Times New Roman"/>
          <w:sz w:val="32"/>
          <w:szCs w:val="40"/>
          <w:lang w:val="en-US" w:eastAsia="zh-CN"/>
        </w:rPr>
        <w:t>5</w:t>
      </w:r>
      <w:r>
        <w:rPr>
          <w:rFonts w:ascii="Times New Roman" w:hAnsi="Times New Roman" w:eastAsia="黑体" w:cs="Times New Roman"/>
          <w:sz w:val="32"/>
          <w:szCs w:val="40"/>
        </w:rPr>
        <w:t>-202</w:t>
      </w:r>
      <w:r>
        <w:rPr>
          <w:rFonts w:hint="eastAsia" w:ascii="Times New Roman" w:hAnsi="Times New Roman" w:eastAsia="黑体" w:cs="Times New Roman"/>
          <w:sz w:val="32"/>
          <w:szCs w:val="40"/>
          <w:lang w:val="en-US" w:eastAsia="zh-CN"/>
        </w:rPr>
        <w:t>6</w:t>
      </w:r>
      <w:r>
        <w:rPr>
          <w:rFonts w:ascii="Times New Roman" w:hAnsi="Times New Roman" w:eastAsia="黑体" w:cs="Times New Roman"/>
          <w:sz w:val="32"/>
          <w:szCs w:val="40"/>
        </w:rPr>
        <w:t>-1</w:t>
      </w:r>
      <w:r>
        <w:rPr>
          <w:rFonts w:hint="eastAsia" w:ascii="Times New Roman" w:hAnsi="Times New Roman" w:eastAsia="黑体" w:cs="Times New Roman"/>
          <w:sz w:val="32"/>
          <w:szCs w:val="40"/>
        </w:rPr>
        <w:t xml:space="preserve">学期 </w:t>
      </w:r>
      <w:r>
        <w:rPr>
          <w:rFonts w:ascii="Times New Roman" w:hAnsi="Times New Roman" w:eastAsia="黑体" w:cs="Times New Roman"/>
          <w:sz w:val="32"/>
          <w:szCs w:val="40"/>
        </w:rPr>
        <w:t>军事理论大作业</w:t>
      </w:r>
    </w:p>
    <w:p w14:paraId="77A42185">
      <w:pPr>
        <w:pStyle w:val="3"/>
        <w:spacing w:before="20" w:after="20"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题目一：</w:t>
      </w:r>
    </w:p>
    <w:p w14:paraId="6EA6E8AB">
      <w:pPr>
        <w:widowControl/>
        <w:shd w:val="clear" w:color="auto" w:fill="FFFFFF"/>
        <w:rPr>
          <w:rFonts w:ascii="仿宋" w:hAnsi="仿宋" w:eastAsia="仿宋" w:cs="仿宋"/>
          <w:b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b/>
          <w:color w:val="000000"/>
          <w:sz w:val="28"/>
          <w:szCs w:val="28"/>
        </w:rPr>
        <w:t>材料：</w:t>
      </w:r>
    </w:p>
    <w:p w14:paraId="55860C0E">
      <w:pPr>
        <w:widowControl/>
        <w:shd w:val="clear" w:color="auto" w:fill="FFFFFF"/>
        <w:spacing w:line="500" w:lineRule="exact"/>
        <w:ind w:firstLine="562" w:firstLineChars="200"/>
        <w:jc w:val="center"/>
        <w:rPr>
          <w:rFonts w:hint="eastAsia" w:asciiTheme="majorEastAsia" w:hAnsiTheme="majorEastAsia" w:eastAsiaTheme="majorEastAsia" w:cstheme="majorEastAsia"/>
          <w:b/>
          <w:bCs/>
          <w:color w:val="333333"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sz w:val="28"/>
          <w:szCs w:val="36"/>
        </w:rPr>
        <w:t>长征精神与新时代中国国防和军队建设</w:t>
      </w:r>
    </w:p>
    <w:p w14:paraId="51B46C07">
      <w:pPr>
        <w:widowControl/>
        <w:shd w:val="clear" w:color="auto" w:fill="FFFFFF"/>
        <w:spacing w:line="500" w:lineRule="exact"/>
        <w:rPr>
          <w:rFonts w:hint="eastAsia" w:ascii="楷体" w:hAnsi="楷体" w:eastAsia="楷体" w:cs="楷体"/>
          <w:b/>
          <w:bCs/>
          <w:color w:val="333333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333333"/>
          <w:sz w:val="24"/>
          <w:szCs w:val="32"/>
        </w:rPr>
        <w:t>材料一：历史维度</w:t>
      </w:r>
      <w:r>
        <w:rPr>
          <w:rFonts w:hint="eastAsia" w:ascii="楷体" w:hAnsi="楷体" w:eastAsia="楷体" w:cs="楷体"/>
          <w:b/>
          <w:bCs/>
          <w:color w:val="333333"/>
          <w:sz w:val="24"/>
          <w:szCs w:val="32"/>
          <w:lang w:val="en-US" w:eastAsia="zh-CN"/>
        </w:rPr>
        <w:t xml:space="preserve"> </w:t>
      </w:r>
    </w:p>
    <w:p w14:paraId="4B87CE39">
      <w:pPr>
        <w:widowControl/>
        <w:shd w:val="clear" w:color="auto" w:fill="FFFFFF"/>
        <w:spacing w:line="500" w:lineRule="exact"/>
        <w:ind w:firstLine="480" w:firstLineChars="200"/>
        <w:rPr>
          <w:rFonts w:hint="eastAsia" w:ascii="楷体" w:hAnsi="楷体" w:eastAsia="楷体" w:cs="楷体"/>
          <w:color w:val="333333"/>
          <w:sz w:val="24"/>
          <w:szCs w:val="32"/>
        </w:rPr>
      </w:pPr>
      <w:r>
        <w:rPr>
          <w:rFonts w:hint="eastAsia" w:ascii="楷体" w:hAnsi="楷体" w:eastAsia="楷体" w:cs="楷体"/>
          <w:color w:val="333333"/>
          <w:sz w:val="24"/>
          <w:szCs w:val="32"/>
        </w:rPr>
        <w:t>1934年10月至1936年10月，中国共产党领导中国工农红军主力，进行了震惊世界的二万五千里长征。长征途中，红军跨越滔滔急流，征服皑皑雪山，穿越茫茫草地，突破层层封锁，粉碎了上百万敌军的围追堵截，克服了以王明为代表的“左”倾教条主义和张国焘的分裂主义等错误，最终实现红军三大主力会师，保存了革命骨干力量，打开了中国革命的新局面。长征的胜利，充分展现了中国共产党及其领导的人民军队坚定的理想信念、不屈不挠的钢铁意志、紧密团结的优良作风、灵活机动的战略战术和与人民群众的生死与共。</w:t>
      </w:r>
    </w:p>
    <w:p w14:paraId="1419A5DF">
      <w:pPr>
        <w:widowControl/>
        <w:shd w:val="clear" w:color="auto" w:fill="FFFFFF"/>
        <w:spacing w:line="500" w:lineRule="exact"/>
        <w:rPr>
          <w:rFonts w:hint="eastAsia" w:ascii="楷体" w:hAnsi="楷体" w:eastAsia="楷体" w:cs="楷体"/>
          <w:b/>
          <w:bCs/>
          <w:color w:val="333333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333333"/>
          <w:sz w:val="24"/>
          <w:szCs w:val="32"/>
        </w:rPr>
        <w:t>材料二：精神内核</w:t>
      </w:r>
      <w:r>
        <w:rPr>
          <w:rFonts w:hint="eastAsia" w:ascii="楷体" w:hAnsi="楷体" w:eastAsia="楷体" w:cs="楷体"/>
          <w:b/>
          <w:bCs/>
          <w:color w:val="333333"/>
          <w:sz w:val="24"/>
          <w:szCs w:val="32"/>
          <w:lang w:val="en-US" w:eastAsia="zh-CN"/>
        </w:rPr>
        <w:t xml:space="preserve"> </w:t>
      </w:r>
    </w:p>
    <w:p w14:paraId="53641540">
      <w:pPr>
        <w:widowControl/>
        <w:shd w:val="clear" w:color="auto" w:fill="FFFFFF"/>
        <w:spacing w:line="500" w:lineRule="exact"/>
        <w:ind w:firstLine="480" w:firstLineChars="200"/>
        <w:rPr>
          <w:rFonts w:hint="eastAsia" w:ascii="楷体" w:hAnsi="楷体" w:eastAsia="楷体" w:cs="楷体"/>
          <w:color w:val="333333"/>
          <w:sz w:val="24"/>
          <w:szCs w:val="32"/>
        </w:rPr>
      </w:pPr>
      <w:r>
        <w:rPr>
          <w:rFonts w:hint="eastAsia" w:ascii="楷体" w:hAnsi="楷体" w:eastAsia="楷体" w:cs="楷体"/>
          <w:color w:val="333333"/>
          <w:sz w:val="24"/>
          <w:szCs w:val="32"/>
        </w:rPr>
        <w:t>“伟大长征精神，就是把全国人民和中华民族的根本利益看得高于一切，坚定革命的理想和信念，坚信正义事业必然胜利的精神；就是为了救国救民，不怕任何艰难险阻，不惜付出一切牺牲的精神；就是坚持独立自主、实事求是，一切从实际出发的精神；就是顾全大局、严守纪律、紧密团结的精神；就是紧紧依靠人民群众，同人民群众生死相依、患难与共、艰苦奋斗的精神。”（引自习近平在纪念红军长征胜利80周年大会上的讲话）</w:t>
      </w:r>
    </w:p>
    <w:p w14:paraId="03E6A99E">
      <w:pPr>
        <w:widowControl/>
        <w:shd w:val="clear" w:color="auto" w:fill="FFFFFF"/>
        <w:spacing w:line="500" w:lineRule="exact"/>
        <w:rPr>
          <w:rFonts w:hint="eastAsia" w:ascii="楷体" w:hAnsi="楷体" w:eastAsia="楷体" w:cs="楷体"/>
          <w:b/>
          <w:bCs/>
          <w:color w:val="333333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333333"/>
          <w:sz w:val="24"/>
          <w:szCs w:val="32"/>
        </w:rPr>
        <w:t>材料三：时代回响</w:t>
      </w:r>
      <w:r>
        <w:rPr>
          <w:rFonts w:hint="eastAsia" w:ascii="楷体" w:hAnsi="楷体" w:eastAsia="楷体" w:cs="楷体"/>
          <w:b/>
          <w:bCs/>
          <w:color w:val="333333"/>
          <w:sz w:val="24"/>
          <w:szCs w:val="32"/>
          <w:lang w:val="en-US" w:eastAsia="zh-CN"/>
        </w:rPr>
        <w:t xml:space="preserve"> </w:t>
      </w:r>
    </w:p>
    <w:p w14:paraId="50727BC7">
      <w:pPr>
        <w:widowControl/>
        <w:shd w:val="clear" w:color="auto" w:fill="FFFFFF"/>
        <w:spacing w:line="500" w:lineRule="exact"/>
        <w:ind w:firstLine="480" w:firstLineChars="200"/>
        <w:rPr>
          <w:rFonts w:hint="eastAsia" w:ascii="楷体" w:hAnsi="楷体" w:eastAsia="楷体" w:cs="楷体"/>
          <w:color w:val="333333"/>
          <w:sz w:val="24"/>
          <w:szCs w:val="32"/>
        </w:rPr>
      </w:pPr>
      <w:r>
        <w:rPr>
          <w:rFonts w:hint="eastAsia" w:ascii="楷体" w:hAnsi="楷体" w:eastAsia="楷体" w:cs="楷体"/>
          <w:color w:val="333333"/>
          <w:sz w:val="24"/>
          <w:szCs w:val="32"/>
        </w:rPr>
        <w:t>当前，世界百年未有之大变局加速演进，新一轮科技革命和军事革命深入发展，我国国家安全的内涵和外延比历史上任何时候都要丰富，时空领域比历史上任何时候都要宽广，内外因素比历史上任何时候都要复杂。建设同我国国际地位相称、同国家安全和发展利益相适应的巩固国防和强大军队，是我国社会主义现代化建设的战略任务。新时代强军目标明确要求建设一支听党指挥、能打胜仗、作风优良的人民军队。强军兴军，既需要强大的物质技术基础，也需要强大的精神力量支撑。</w:t>
      </w:r>
    </w:p>
    <w:p w14:paraId="1E260AE5">
      <w:pPr>
        <w:pStyle w:val="3"/>
        <w:spacing w:before="20" w:after="20"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题目二：</w:t>
      </w:r>
    </w:p>
    <w:p w14:paraId="28952DA5">
      <w:pPr>
        <w:widowControl/>
        <w:shd w:val="clear" w:color="auto" w:fill="FFFFFF"/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</w:pPr>
      <w:r>
        <w:rPr>
          <w:rFonts w:hint="eastAsia" w:ascii="仿宋" w:hAnsi="仿宋" w:eastAsia="仿宋" w:cs="黑体"/>
          <w:b/>
          <w:bCs/>
          <w:color w:val="222222"/>
          <w:kern w:val="0"/>
          <w:sz w:val="28"/>
          <w:szCs w:val="28"/>
          <w:shd w:val="clear" w:color="auto" w:fill="FFFFFF"/>
          <w:lang w:bidi="ar"/>
        </w:rPr>
        <w:t>材料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t>：</w:t>
      </w:r>
    </w:p>
    <w:p w14:paraId="1818AC2E">
      <w:pPr>
        <w:widowControl/>
        <w:shd w:val="clear" w:color="auto" w:fill="FFFFFF"/>
        <w:spacing w:line="500" w:lineRule="exact"/>
        <w:ind w:firstLine="562" w:firstLineChars="200"/>
        <w:jc w:val="center"/>
        <w:rPr>
          <w:rFonts w:hint="default" w:asciiTheme="majorEastAsia" w:hAnsiTheme="majorEastAsia" w:eastAsiaTheme="majorEastAsia" w:cstheme="majorEastAsia"/>
          <w:b/>
          <w:bCs/>
          <w:color w:val="333333"/>
          <w:sz w:val="28"/>
          <w:szCs w:val="36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333333"/>
          <w:sz w:val="28"/>
          <w:szCs w:val="36"/>
        </w:rPr>
        <w:t>从“9·3阅兵”看新时代中国国防的变与不变</w:t>
      </w:r>
    </w:p>
    <w:p w14:paraId="3C4EDE20">
      <w:pPr>
        <w:widowControl/>
        <w:shd w:val="clear" w:color="auto" w:fill="FFFFFF"/>
        <w:spacing w:line="500" w:lineRule="exact"/>
        <w:ind w:firstLine="480" w:firstLineChars="200"/>
        <w:rPr>
          <w:rFonts w:hint="default" w:ascii="Times New Roman" w:hAnsi="Times New Roman" w:eastAsia="楷体" w:cs="Times New Roman"/>
          <w:color w:val="333333"/>
          <w:sz w:val="24"/>
          <w:szCs w:val="32"/>
        </w:rPr>
      </w:pPr>
      <w:r>
        <w:rPr>
          <w:rFonts w:hint="default" w:ascii="Times New Roman" w:hAnsi="Times New Roman" w:eastAsia="楷体" w:cs="Times New Roman"/>
          <w:color w:val="333333"/>
          <w:sz w:val="24"/>
          <w:szCs w:val="32"/>
        </w:rPr>
        <w:t>2025年9月3日上午10时，纪念中国人民抗日战争暨世界反法西斯战争胜利80周年阅兵式在天安门广场隆重举行。这是一场承载厚重历史与昭示时代使命的盛典。</w:t>
      </w:r>
    </w:p>
    <w:p w14:paraId="3BDAD0CC">
      <w:pPr>
        <w:widowControl/>
        <w:shd w:val="clear" w:color="auto" w:fill="FFFFFF"/>
        <w:spacing w:line="500" w:lineRule="exact"/>
        <w:ind w:firstLine="480" w:firstLineChars="200"/>
        <w:rPr>
          <w:rFonts w:hint="default" w:ascii="Times New Roman" w:hAnsi="Times New Roman" w:eastAsia="楷体" w:cs="Times New Roman"/>
          <w:color w:val="333333"/>
          <w:sz w:val="24"/>
          <w:szCs w:val="32"/>
        </w:rPr>
      </w:pPr>
      <w:r>
        <w:rPr>
          <w:rFonts w:hint="default" w:ascii="Times New Roman" w:hAnsi="Times New Roman" w:eastAsia="楷体" w:cs="Times New Roman"/>
          <w:color w:val="333333"/>
          <w:sz w:val="24"/>
          <w:szCs w:val="32"/>
        </w:rPr>
        <w:t>在庄严的《红旗颂》旋律中，三军仪仗队护卫着鲜艳的五星红旗率先通过检阅台。紧随其后的，是抗战老兵方队——当数十辆礼宾车载着平均年龄近百岁的老英雄们缓缓驶过，全场爆发出经久不息的最崇高敬意，历史与现实在此刻深情凝望。</w:t>
      </w:r>
    </w:p>
    <w:p w14:paraId="2AA62CE3">
      <w:pPr>
        <w:widowControl/>
        <w:shd w:val="clear" w:color="auto" w:fill="FFFFFF"/>
        <w:spacing w:line="500" w:lineRule="exact"/>
        <w:ind w:firstLine="480" w:firstLineChars="200"/>
        <w:rPr>
          <w:rFonts w:hint="default" w:ascii="Times New Roman" w:hAnsi="Times New Roman" w:eastAsia="楷体" w:cs="Times New Roman"/>
          <w:color w:val="333333"/>
          <w:sz w:val="24"/>
          <w:szCs w:val="32"/>
        </w:rPr>
      </w:pPr>
      <w:r>
        <w:rPr>
          <w:rFonts w:hint="default" w:ascii="Times New Roman" w:hAnsi="Times New Roman" w:eastAsia="楷体" w:cs="Times New Roman"/>
          <w:color w:val="333333"/>
          <w:sz w:val="24"/>
          <w:szCs w:val="32"/>
        </w:rPr>
        <w:t>此次阅兵最鲜明的特征是体系化与智能化。地面方队一改传统兵种划分，首次以“联合作战体系”模块编组受阅。“信息攻防”、“无人作战”、“太空预警”、“后勤支援”等新质作战力量模块依次亮相。其中，由侦察型、攻击型、蜂群型等多谱系无人机组成的无人作战方队，以其高度自主协同能力，成为全场焦点。空中梯队方面，国产新型隐身战斗机歼-20以五机钻石编队掠过长空，运油-20与歼-16组成的空中加油编队紧随其后，彰显了空军远程精确打击能力的跃升。压轴出场的，则是首次公开亮相的新型高超音速导弹系统，标志着战略威慑与反击能力进入新纪元。</w:t>
      </w:r>
    </w:p>
    <w:p w14:paraId="43D22894">
      <w:pPr>
        <w:widowControl/>
        <w:shd w:val="clear" w:color="auto" w:fill="FFFFFF"/>
        <w:spacing w:line="500" w:lineRule="exact"/>
        <w:ind w:firstLine="480" w:firstLineChars="200"/>
        <w:rPr>
          <w:rFonts w:hint="eastAsia" w:ascii="宋体" w:hAnsi="宋体" w:eastAsia="宋体" w:cs="宋体"/>
        </w:rPr>
      </w:pPr>
      <w:r>
        <w:rPr>
          <w:rFonts w:hint="default" w:ascii="Times New Roman" w:hAnsi="Times New Roman" w:eastAsia="楷体" w:cs="Times New Roman"/>
          <w:color w:val="333333"/>
          <w:sz w:val="24"/>
          <w:szCs w:val="32"/>
        </w:rPr>
        <w:t>整场阅兵，历史荣誉与未来战力交相辉映。它既是对“天下虽安，忘战必危”古训的现代回响，也是以最直观的方式向世界宣告：中国拥有一支坚决捍卫和平、也有能力决胜未来的强大人民军队。对于当代青年而言，这不仅是一场视觉震撼，更是一堂关于国家安全、科技强军与历史传承的生动国防教育课。</w:t>
      </w:r>
    </w:p>
    <w:p w14:paraId="62E24F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65EE00C">
      <w:pPr>
        <w:pStyle w:val="3"/>
        <w:spacing w:before="20" w:after="20"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题目三：</w:t>
      </w:r>
    </w:p>
    <w:p w14:paraId="7AAF6A59">
      <w:pPr>
        <w:widowControl/>
        <w:shd w:val="clear" w:color="auto" w:fill="FFFFFF"/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</w:pPr>
      <w:r>
        <w:rPr>
          <w:rFonts w:hint="eastAsia" w:ascii="仿宋" w:hAnsi="仿宋" w:eastAsia="仿宋" w:cs="黑体"/>
          <w:b/>
          <w:bCs/>
          <w:color w:val="222222"/>
          <w:kern w:val="0"/>
          <w:sz w:val="28"/>
          <w:szCs w:val="28"/>
          <w:shd w:val="clear" w:color="auto" w:fill="FFFFFF"/>
          <w:lang w:bidi="ar"/>
        </w:rPr>
        <w:t>材料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t>：</w:t>
      </w:r>
    </w:p>
    <w:p w14:paraId="6BD0BB6F">
      <w:pPr>
        <w:widowControl/>
        <w:shd w:val="clear" w:color="auto" w:fill="FFFFFF"/>
        <w:spacing w:line="500" w:lineRule="exact"/>
        <w:ind w:firstLine="562" w:firstLineChars="200"/>
        <w:jc w:val="center"/>
        <w:rPr>
          <w:rFonts w:hint="eastAsia" w:asciiTheme="majorEastAsia" w:hAnsiTheme="majorEastAsia" w:eastAsiaTheme="majorEastAsia" w:cstheme="majorEastAsia"/>
          <w:b/>
          <w:bCs/>
          <w:color w:val="333333"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sz w:val="28"/>
          <w:szCs w:val="36"/>
        </w:rPr>
        <w:t>福建舰与中国海军现代化建设的战略意义</w:t>
      </w:r>
    </w:p>
    <w:p w14:paraId="59759920">
      <w:pPr>
        <w:widowControl/>
        <w:shd w:val="clear" w:color="auto" w:fill="FFFFFF"/>
        <w:spacing w:line="500" w:lineRule="exact"/>
        <w:ind w:firstLine="480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</w:rPr>
      </w:pPr>
      <w:r>
        <w:rPr>
          <w:rFonts w:hint="eastAsia" w:ascii="Times New Roman" w:hAnsi="Times New Roman" w:eastAsia="楷体" w:cs="Times New Roman"/>
          <w:color w:val="333333"/>
          <w:sz w:val="24"/>
          <w:szCs w:val="32"/>
        </w:rPr>
        <w:t>2022年6月17日，我国完全自主设计建造的首艘弹射型航空母舰福建舰（舷号18）下水。该舰采用平直通长飞行甲板，配置电磁弹射和阻拦装置，满载排水量8万余吨。2024年5月1日至8日，福建舰顺利完成首次海试，对动力、电力等系统进行了测试。2025年9月22日，海军有关部门证实，在纪念抗战胜利80周年阅兵中受阅的歼-15T（弹射型）、歼-35（第五代舰载机）及空警-600（舰载固定翼预警机）三型舰载机，已成功在福建舰上完成首次弹射起飞与阻拦着舰训练。2025年11月5日，福建舰正式加入海军序列，成为全球首艘采用常规动力结合电磁弹射技术的航空母舰。</w:t>
      </w:r>
    </w:p>
    <w:p w14:paraId="6C71BD1E">
      <w:pPr>
        <w:widowControl/>
        <w:shd w:val="clear" w:color="auto" w:fill="FFFFFF"/>
        <w:spacing w:line="500" w:lineRule="exact"/>
        <w:ind w:firstLine="480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</w:rPr>
      </w:pPr>
      <w:r>
        <w:rPr>
          <w:rFonts w:hint="eastAsia" w:ascii="Times New Roman" w:hAnsi="Times New Roman" w:eastAsia="楷体" w:cs="Times New Roman"/>
          <w:color w:val="333333"/>
          <w:sz w:val="24"/>
          <w:szCs w:val="32"/>
        </w:rPr>
        <w:t>福建舰的技术突破，标志着中国航母工程在大型平台设计、综合电力系统、先进舰载机适配及新型起降方式等关键领域实现了系统性跨越。其采用的电磁弹射技术，相较于传统的蒸汽弹射，具有效率更高、可控性更强、适配机型更广、对舰艇能源系统要求更精细等技术特点，代表了中型以上航母舰载机起飞方式的先进发展方向。</w:t>
      </w:r>
    </w:p>
    <w:p w14:paraId="29C2AF51">
      <w:pPr>
        <w:widowControl/>
        <w:shd w:val="clear" w:color="auto" w:fill="FFFFFF"/>
        <w:spacing w:line="500" w:lineRule="exact"/>
        <w:ind w:firstLine="480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</w:rPr>
      </w:pPr>
      <w:r>
        <w:rPr>
          <w:rFonts w:hint="eastAsia" w:ascii="Times New Roman" w:hAnsi="Times New Roman" w:eastAsia="楷体" w:cs="Times New Roman"/>
          <w:color w:val="333333"/>
          <w:sz w:val="24"/>
          <w:szCs w:val="32"/>
        </w:rPr>
        <w:t>《新时代的中国国防》白皮书指出，“海军在国家安全和发展全局中具有十分重要的地位”，要求“加快推进近海防御型向远海防卫型转变”。航母作为现代海上力量的核心装备，是远海防卫与体系化作战能力的关键支柱。</w:t>
      </w:r>
    </w:p>
    <w:p w14:paraId="50EC2DFB">
      <w:pPr>
        <w:widowControl/>
        <w:shd w:val="clear" w:color="auto" w:fill="FFFFFF"/>
        <w:ind w:firstLine="560" w:firstLineChars="200"/>
        <w:rPr>
          <w:rFonts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</w:pPr>
      <w:r>
        <w:rPr>
          <w:rFonts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br w:type="page"/>
      </w:r>
    </w:p>
    <w:p w14:paraId="1C27AF80">
      <w:pPr>
        <w:pStyle w:val="3"/>
        <w:spacing w:before="20" w:after="20"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题目四：</w:t>
      </w:r>
    </w:p>
    <w:p w14:paraId="43FD0B0E">
      <w:pPr>
        <w:widowControl/>
        <w:shd w:val="clear" w:color="auto" w:fill="FFFFFF"/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</w:pPr>
      <w:r>
        <w:rPr>
          <w:rFonts w:hint="eastAsia" w:ascii="仿宋" w:hAnsi="仿宋" w:eastAsia="仿宋" w:cs="黑体"/>
          <w:b/>
          <w:bCs/>
          <w:color w:val="222222"/>
          <w:kern w:val="0"/>
          <w:sz w:val="28"/>
          <w:szCs w:val="28"/>
          <w:shd w:val="clear" w:color="auto" w:fill="FFFFFF"/>
          <w:lang w:bidi="ar"/>
        </w:rPr>
        <w:t>材料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t>：</w:t>
      </w:r>
    </w:p>
    <w:p w14:paraId="0C45A43D">
      <w:pPr>
        <w:widowControl/>
        <w:shd w:val="clear" w:color="auto" w:fill="FFFFFF"/>
        <w:spacing w:line="500" w:lineRule="exact"/>
        <w:ind w:firstLine="480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  <w:t>2025年X月X日，日本首相高市早苗发表涉台言论，称“台湾海峡的和平稳定关乎日本国家安全”，并暗示“不排除在台海局势升级时采取相应措施”。中国外交部立即回应，强调台湾问题纯属中国内政，不容任何外部势力干涉，敦促日方恪守中日四个政治文件原则，不得以任何形式纵容支持“台独”分裂势力。</w:t>
      </w:r>
    </w:p>
    <w:p w14:paraId="2D027847">
      <w:pPr>
        <w:widowControl/>
        <w:shd w:val="clear" w:color="auto" w:fill="FFFFFF"/>
        <w:spacing w:line="500" w:lineRule="exact"/>
        <w:ind w:firstLine="480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  <w:t>中国军方对高市早苗涉台问题的回应：</w:t>
      </w:r>
    </w:p>
    <w:p w14:paraId="551A6161">
      <w:pPr>
        <w:widowControl/>
        <w:shd w:val="clear" w:color="auto" w:fill="FFFFFF"/>
        <w:spacing w:line="500" w:lineRule="exact"/>
        <w:ind w:firstLine="482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333333"/>
          <w:sz w:val="24"/>
          <w:szCs w:val="32"/>
          <w:lang w:val="en-US" w:eastAsia="zh-CN"/>
        </w:rPr>
        <w:t>中国军号</w:t>
      </w:r>
      <w:r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  <w:t>连续多日发布高燃训练视频，配文“一切就绪”“导弹密集升空”，展现解放军备战状态，传递维护国家主权和领土完整的坚定决心。</w:t>
      </w:r>
    </w:p>
    <w:p w14:paraId="070B1BD1">
      <w:pPr>
        <w:widowControl/>
        <w:shd w:val="clear" w:color="auto" w:fill="FFFFFF"/>
        <w:spacing w:line="500" w:lineRule="exact"/>
        <w:ind w:firstLine="482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333333"/>
          <w:sz w:val="24"/>
          <w:szCs w:val="32"/>
          <w:lang w:val="en-US" w:eastAsia="zh-CN"/>
        </w:rPr>
        <w:t>南部战区</w:t>
      </w:r>
      <w:r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  <w:t>发布超燃混剪视频，强调“如果战斗今夜打响，战友，你准备好了吗？”，凸显对台海局势的高度警惕。</w:t>
      </w:r>
    </w:p>
    <w:p w14:paraId="782DFC0E">
      <w:pPr>
        <w:widowControl/>
        <w:shd w:val="clear" w:color="auto" w:fill="FFFFFF"/>
        <w:spacing w:line="500" w:lineRule="exact"/>
        <w:ind w:firstLine="482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333333"/>
          <w:sz w:val="24"/>
          <w:szCs w:val="32"/>
          <w:lang w:val="en-US" w:eastAsia="zh-CN"/>
        </w:rPr>
        <w:t>解放军报</w:t>
      </w:r>
      <w:r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  <w:t>等媒体发声：《所谓“存亡危机”暗藏军国主义余毒》，揭批高市早苗将“台湾有事”与日本“存亡危机”挂钩的挑衅言论，指出其本质是军国主义余毒未消，强调“日方若武力介入台海局势，必将遭到中国人民解放军的迎头痛击”。</w:t>
      </w:r>
    </w:p>
    <w:p w14:paraId="7FD3E766">
      <w:pPr>
        <w:widowControl/>
        <w:shd w:val="clear" w:color="auto" w:fill="FFFFFF"/>
        <w:spacing w:line="500" w:lineRule="exact"/>
        <w:ind w:firstLine="482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333333"/>
          <w:sz w:val="24"/>
          <w:szCs w:val="32"/>
          <w:lang w:val="en-US" w:eastAsia="zh-CN"/>
        </w:rPr>
        <w:t>国防部、解放军报、中部战区空军、东部战区、南海舰队</w:t>
      </w:r>
      <w:r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  <w:t>等通过海内外社交平台发声，重申“台湾是中国的台湾，其地位问题早已解决，日方无权干涉”，并警告“任何破坏台海和平稳定的行径都将遭到坚决反制”。</w:t>
      </w:r>
    </w:p>
    <w:p w14:paraId="03168D55">
      <w:pPr>
        <w:widowControl/>
        <w:shd w:val="clear" w:color="auto" w:fill="FFFFFF"/>
        <w:spacing w:line="500" w:lineRule="exact"/>
        <w:ind w:firstLine="480" w:firstLineChars="200"/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color w:val="333333"/>
          <w:sz w:val="24"/>
          <w:szCs w:val="32"/>
          <w:lang w:val="en-US" w:eastAsia="zh-CN"/>
        </w:rPr>
        <w:t>针对高市早苗暗示武力介入台海的言论，军方通过密集军事训练画面和强硬措辞表明立场：“玩火者终将引火烧身，必将置日本于万劫不复之地”，并强调“中国终将统一，也必将统一的历史大势不可阻挡”。</w:t>
      </w:r>
    </w:p>
    <w:p w14:paraId="18364F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B7923D5">
      <w:pPr>
        <w:pStyle w:val="3"/>
        <w:spacing w:before="20" w:after="20"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题目五：</w:t>
      </w:r>
    </w:p>
    <w:p w14:paraId="5E9B9A4E">
      <w:pPr>
        <w:widowControl/>
        <w:shd w:val="clear" w:color="auto" w:fill="FFFFFF"/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</w:pPr>
      <w:r>
        <w:rPr>
          <w:rFonts w:hint="eastAsia" w:ascii="仿宋" w:hAnsi="仿宋" w:eastAsia="仿宋" w:cs="黑体"/>
          <w:b/>
          <w:bCs/>
          <w:color w:val="222222"/>
          <w:kern w:val="0"/>
          <w:sz w:val="28"/>
          <w:szCs w:val="28"/>
          <w:shd w:val="clear" w:color="auto" w:fill="FFFFFF"/>
          <w:lang w:bidi="ar"/>
        </w:rPr>
        <w:t>材料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t xml:space="preserve">： </w:t>
      </w:r>
    </w:p>
    <w:p w14:paraId="1EF6E24D">
      <w:pPr>
        <w:widowControl/>
        <w:shd w:val="clear" w:color="auto" w:fill="FFFFFF"/>
        <w:ind w:firstLine="560" w:firstLineChars="200"/>
        <w:rPr>
          <w:rFonts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</w:pP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t>中国共产党第二十届中央委员会第四次全体会议（简称：二十届四中全会），于2025年10月20日至23日在北京举行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eastAsia="zh-CN" w:bidi="ar"/>
        </w:rPr>
        <w:t>，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t>通过的《中共中央关于制定国民经济和社会发展第十五个五年规划的建议》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eastAsia="zh-CN" w:bidi="ar"/>
        </w:rPr>
        <w:t>。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t>党的二十届四中全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val="en-US" w:eastAsia="zh-CN" w:bidi="ar"/>
        </w:rPr>
        <w:t>立足中国式现代化战略全局，对如期实现建军一百年奋斗目标、高质量推进国防和军队现代化作出新部署，</w:t>
      </w:r>
      <w:r>
        <w:rPr>
          <w:rFonts w:hint="eastAsia"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t>强调要深入贯彻习近平强军思想，坚持党对人民军队的绝对领导，全面加强练兵备战，提高捍卫国家主权、安全、发展利益的战略能力。全会要求加快国防和军队现代化，确保如期实现建军一百年奋斗目标，并强调要巩固提高一体化国家战略体系和能力，深化国防和军队改革，优化国防科技工业体系和布局。这些论述为新时代国防和军队建设指明了方向，展现了党中央推进强军事业的坚定决心。中国人民解放军将继续坚定不移地走中国特色强军之路，为维护国家主权、安全和发展利益，为维护世界和平与稳定作出新的更大贡献。</w:t>
      </w:r>
      <w:r>
        <w:rPr>
          <w:rFonts w:ascii="仿宋" w:hAnsi="仿宋" w:eastAsia="仿宋" w:cs="黑体"/>
          <w:color w:val="222222"/>
          <w:kern w:val="0"/>
          <w:sz w:val="28"/>
          <w:szCs w:val="28"/>
          <w:shd w:val="clear" w:color="auto" w:fill="FFFFFF"/>
          <w:lang w:bidi="ar"/>
        </w:rPr>
        <w:br w:type="page"/>
      </w:r>
    </w:p>
    <w:p w14:paraId="60D23CDC">
      <w:pPr>
        <w:pStyle w:val="3"/>
        <w:spacing w:before="20" w:after="20" w:line="360" w:lineRule="auto"/>
        <w:rPr>
          <w:rFonts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</w:rPr>
        <w:t>作业要求：</w:t>
      </w:r>
    </w:p>
    <w:p w14:paraId="1D476AC5">
      <w:pPr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1</w:t>
      </w:r>
      <w:r>
        <w:rPr>
          <w:rFonts w:hint="eastAsia" w:ascii="Times New Roman" w:hAnsi="Times New Roman" w:eastAsia="仿宋" w:cs="Times New Roman"/>
          <w:sz w:val="28"/>
        </w:rPr>
        <w:t>、</w:t>
      </w:r>
      <w:r>
        <w:rPr>
          <w:rFonts w:ascii="Times New Roman" w:hAnsi="Times New Roman" w:eastAsia="仿宋" w:cs="Times New Roman"/>
          <w:sz w:val="28"/>
        </w:rPr>
        <w:t>从</w:t>
      </w:r>
      <w:r>
        <w:rPr>
          <w:rFonts w:hint="eastAsia" w:ascii="Times New Roman" w:hAnsi="Times New Roman" w:eastAsia="仿宋" w:cs="Times New Roman"/>
          <w:sz w:val="28"/>
        </w:rPr>
        <w:t>所提供的</w:t>
      </w:r>
      <w:r>
        <w:rPr>
          <w:rFonts w:ascii="Times New Roman" w:hAnsi="Times New Roman" w:eastAsia="仿宋" w:cs="Times New Roman"/>
          <w:sz w:val="28"/>
        </w:rPr>
        <w:t>5</w:t>
      </w:r>
      <w:r>
        <w:rPr>
          <w:rFonts w:hint="eastAsia" w:ascii="Times New Roman" w:hAnsi="Times New Roman" w:eastAsia="仿宋" w:cs="Times New Roman"/>
          <w:sz w:val="28"/>
        </w:rPr>
        <w:t>道材料题目中，</w:t>
      </w:r>
      <w:r>
        <w:rPr>
          <w:rFonts w:ascii="Times New Roman" w:hAnsi="Times New Roman" w:eastAsia="仿宋" w:cs="Times New Roman"/>
          <w:sz w:val="28"/>
        </w:rPr>
        <w:t>任选</w:t>
      </w:r>
      <w:r>
        <w:rPr>
          <w:rFonts w:ascii="Times New Roman" w:hAnsi="Times New Roman" w:eastAsia="仿宋" w:cs="Times New Roman"/>
          <w:b/>
          <w:bCs/>
          <w:color w:val="FF0000"/>
          <w:sz w:val="28"/>
        </w:rPr>
        <w:t>一个题目</w:t>
      </w:r>
      <w:r>
        <w:rPr>
          <w:rFonts w:hint="eastAsia" w:ascii="Times New Roman" w:hAnsi="Times New Roman" w:eastAsia="仿宋" w:cs="Times New Roman"/>
          <w:sz w:val="28"/>
        </w:rPr>
        <w:t>展开</w:t>
      </w:r>
      <w:r>
        <w:rPr>
          <w:rFonts w:ascii="Times New Roman" w:hAnsi="Times New Roman" w:eastAsia="仿宋" w:cs="Times New Roman"/>
          <w:sz w:val="28"/>
        </w:rPr>
        <w:t>论述，字数在2000字以内</w:t>
      </w:r>
      <w:r>
        <w:rPr>
          <w:rFonts w:hint="eastAsia" w:ascii="Times New Roman" w:hAnsi="Times New Roman" w:eastAsia="仿宋" w:cs="Times New Roman"/>
          <w:sz w:val="28"/>
        </w:rPr>
        <w:t>。</w:t>
      </w:r>
    </w:p>
    <w:p w14:paraId="57F7E294">
      <w:pPr>
        <w:rPr>
          <w:rFonts w:ascii="Times New Roman" w:hAnsi="Times New Roman" w:eastAsia="仿宋" w:cs="Times New Roman"/>
          <w:sz w:val="28"/>
        </w:rPr>
      </w:pPr>
      <w:r>
        <w:rPr>
          <w:rFonts w:hint="eastAsia" w:ascii="Times New Roman" w:hAnsi="Times New Roman" w:eastAsia="仿宋" w:cs="Times New Roman"/>
          <w:sz w:val="28"/>
        </w:rPr>
        <w:t>2、要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结合</w:t>
      </w:r>
      <w:r>
        <w:rPr>
          <w:rFonts w:hint="eastAsia" w:ascii="Times New Roman" w:hAnsi="Times New Roman" w:eastAsia="仿宋" w:cs="Times New Roman"/>
          <w:sz w:val="28"/>
        </w:rPr>
        <w:t>运用课堂学习的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专题知识点</w:t>
      </w:r>
      <w:r>
        <w:rPr>
          <w:rFonts w:hint="eastAsia" w:ascii="Times New Roman" w:hAnsi="Times New Roman" w:eastAsia="仿宋" w:cs="Times New Roman"/>
          <w:sz w:val="28"/>
        </w:rPr>
        <w:t>展开论述。</w:t>
      </w:r>
    </w:p>
    <w:p w14:paraId="2FDFC011">
      <w:pPr>
        <w:rPr>
          <w:rFonts w:hint="eastAsia" w:ascii="Times New Roman" w:hAnsi="Times New Roman" w:eastAsia="仿宋" w:cs="Times New Roman"/>
          <w:sz w:val="28"/>
        </w:rPr>
      </w:pPr>
      <w:r>
        <w:rPr>
          <w:rFonts w:hint="eastAsia" w:ascii="Times New Roman" w:hAnsi="Times New Roman" w:eastAsia="仿宋" w:cs="Times New Roman"/>
          <w:sz w:val="28"/>
        </w:rPr>
        <w:t>3、论述中要明确体现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自己的</w:t>
      </w:r>
      <w:r>
        <w:rPr>
          <w:rFonts w:hint="eastAsia" w:ascii="Times New Roman" w:hAnsi="Times New Roman" w:eastAsia="仿宋" w:cs="Times New Roman"/>
          <w:sz w:val="28"/>
        </w:rPr>
        <w:t>对问题的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观点</w:t>
      </w:r>
      <w:r>
        <w:rPr>
          <w:rFonts w:hint="eastAsia" w:ascii="Times New Roman" w:hAnsi="Times New Roman" w:eastAsia="仿宋" w:cs="Times New Roman"/>
          <w:sz w:val="28"/>
        </w:rPr>
        <w:t>和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看法</w:t>
      </w:r>
      <w:r>
        <w:rPr>
          <w:rFonts w:hint="eastAsia" w:ascii="Times New Roman" w:hAnsi="Times New Roman" w:eastAsia="仿宋" w:cs="Times New Roman"/>
          <w:sz w:val="28"/>
        </w:rPr>
        <w:t>。</w:t>
      </w:r>
    </w:p>
    <w:p w14:paraId="36E32AB8">
      <w:pPr>
        <w:spacing w:line="600" w:lineRule="exact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4</w:t>
      </w:r>
      <w:r>
        <w:rPr>
          <w:rFonts w:hint="eastAsia" w:ascii="Times New Roman" w:hAnsi="Times New Roman" w:eastAsia="仿宋" w:cs="Times New Roman"/>
          <w:sz w:val="28"/>
        </w:rPr>
        <w:t>、</w:t>
      </w:r>
      <w:r>
        <w:rPr>
          <w:rFonts w:ascii="Times New Roman" w:hAnsi="Times New Roman" w:eastAsia="仿宋" w:cs="Times New Roman"/>
          <w:sz w:val="28"/>
        </w:rPr>
        <w:t>格式要求：</w:t>
      </w:r>
      <w:r>
        <w:rPr>
          <w:rFonts w:hint="eastAsia" w:ascii="Times New Roman" w:hAnsi="Times New Roman" w:eastAsia="仿宋" w:cs="Times New Roman"/>
          <w:sz w:val="28"/>
        </w:rPr>
        <w:t>作业以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Word格式</w:t>
      </w:r>
      <w:r>
        <w:rPr>
          <w:rFonts w:hint="eastAsia" w:ascii="Times New Roman" w:hAnsi="Times New Roman" w:eastAsia="仿宋" w:cs="Times New Roman"/>
          <w:sz w:val="28"/>
        </w:rPr>
        <w:t>提交</w:t>
      </w:r>
    </w:p>
    <w:p w14:paraId="43EAB7E6">
      <w:pPr>
        <w:spacing w:line="600" w:lineRule="exact"/>
        <w:ind w:firstLine="560" w:firstLineChars="200"/>
        <w:rPr>
          <w:rFonts w:ascii="Times New Roman" w:hAnsi="Times New Roman" w:eastAsia="仿宋" w:cs="Times New Roman"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仿宋" w:cs="Times New Roman"/>
          <w:sz w:val="28"/>
        </w:rPr>
        <w:t>文件名</w:t>
      </w:r>
      <w:r>
        <w:rPr>
          <w:rFonts w:hint="eastAsia" w:ascii="Times New Roman" w:hAnsi="Times New Roman" w:eastAsia="仿宋" w:cs="Times New Roman"/>
          <w:sz w:val="28"/>
        </w:rPr>
        <w:t>称</w:t>
      </w:r>
      <w:r>
        <w:rPr>
          <w:rFonts w:ascii="Times New Roman" w:hAnsi="Times New Roman" w:eastAsia="仿宋" w:cs="Times New Roman"/>
          <w:sz w:val="28"/>
        </w:rPr>
        <w:t>：</w:t>
      </w:r>
      <w:r>
        <w:rPr>
          <w:rFonts w:ascii="Times New Roman" w:hAnsi="Times New Roman" w:eastAsia="仿宋" w:cs="Times New Roman"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“</w:t>
      </w:r>
      <w:r>
        <w:rPr>
          <w:rFonts w:hint="eastAsia" w:ascii="Times New Roman" w:hAnsi="Times New Roman" w:eastAsia="仿宋" w:cs="Times New Roman"/>
          <w:b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作业题目</w:t>
      </w:r>
      <w:r>
        <w:rPr>
          <w:rFonts w:ascii="Times New Roman" w:hAnsi="Times New Roman" w:eastAsia="仿宋" w:cs="Times New Roman"/>
          <w:b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XX</w:t>
      </w:r>
      <w:r>
        <w:rPr>
          <w:rFonts w:hint="eastAsia" w:ascii="Times New Roman" w:hAnsi="Times New Roman" w:eastAsia="仿宋" w:cs="Times New Roman"/>
          <w:b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（序号）</w:t>
      </w:r>
      <w:r>
        <w:rPr>
          <w:rFonts w:ascii="Times New Roman" w:hAnsi="Times New Roman" w:eastAsia="仿宋" w:cs="Times New Roman"/>
          <w:b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+姓名+学号</w:t>
      </w:r>
      <w:r>
        <w:rPr>
          <w:rFonts w:ascii="Times New Roman" w:hAnsi="Times New Roman" w:eastAsia="仿宋" w:cs="Times New Roman"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”</w:t>
      </w:r>
    </w:p>
    <w:p w14:paraId="1E9DD157">
      <w:pPr>
        <w:spacing w:line="600" w:lineRule="exact"/>
        <w:ind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hint="eastAsia" w:ascii="Times New Roman" w:hAnsi="Times New Roman" w:eastAsia="仿宋" w:cs="Times New Roman"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（例如： 作业题目</w:t>
      </w:r>
      <w:r>
        <w:rPr>
          <w:rFonts w:ascii="Times New Roman" w:hAnsi="Times New Roman" w:eastAsia="仿宋" w:cs="Times New Roman"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5</w:t>
      </w:r>
      <w:r>
        <w:rPr>
          <w:rFonts w:hint="eastAsia" w:ascii="Times New Roman" w:hAnsi="Times New Roman" w:eastAsia="仿宋" w:cs="Times New Roman"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+赵立+</w:t>
      </w:r>
      <w:r>
        <w:rPr>
          <w:rFonts w:ascii="Times New Roman" w:hAnsi="Times New Roman" w:eastAsia="仿宋" w:cs="Times New Roman"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2023221001</w:t>
      </w:r>
      <w:r>
        <w:rPr>
          <w:rFonts w:hint="eastAsia" w:ascii="Times New Roman" w:hAnsi="Times New Roman" w:eastAsia="仿宋" w:cs="Times New Roman"/>
          <w:color w:val="8497B0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）</w:t>
      </w:r>
    </w:p>
    <w:p w14:paraId="1E7127E2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</w:p>
    <w:p w14:paraId="2774C7D4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论文题目：</w:t>
      </w:r>
      <w:r>
        <w:rPr>
          <w:rFonts w:ascii="Times New Roman" w:hAnsi="Times New Roman" w:eastAsia="黑体" w:cs="Times New Roman"/>
          <w:sz w:val="32"/>
        </w:rPr>
        <w:t>黑体3号字</w:t>
      </w:r>
      <w:r>
        <w:rPr>
          <w:rFonts w:ascii="Times New Roman" w:hAnsi="Times New Roman" w:eastAsia="仿宋" w:cs="Times New Roman"/>
          <w:sz w:val="28"/>
        </w:rPr>
        <w:t>，</w:t>
      </w:r>
    </w:p>
    <w:p w14:paraId="4622E5F5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正</w:t>
      </w:r>
      <w:r>
        <w:rPr>
          <w:rFonts w:hint="eastAsia" w:ascii="Times New Roman" w:hAnsi="Times New Roman" w:eastAsia="仿宋" w:cs="Times New Roman"/>
          <w:sz w:val="28"/>
        </w:rPr>
        <w:t xml:space="preserve"> </w:t>
      </w:r>
      <w:r>
        <w:rPr>
          <w:rFonts w:ascii="Times New Roman" w:hAnsi="Times New Roman" w:eastAsia="仿宋" w:cs="Times New Roman"/>
          <w:sz w:val="28"/>
        </w:rPr>
        <w:t xml:space="preserve">   文：仿宋4号字</w:t>
      </w:r>
    </w:p>
    <w:p w14:paraId="43DCCEF5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hint="eastAsia" w:ascii="Times New Roman" w:hAnsi="Times New Roman" w:eastAsia="仿宋" w:cs="Times New Roman"/>
          <w:sz w:val="28"/>
        </w:rPr>
        <w:t xml:space="preserve">段 </w:t>
      </w:r>
      <w:r>
        <w:rPr>
          <w:rFonts w:ascii="Times New Roman" w:hAnsi="Times New Roman" w:eastAsia="仿宋" w:cs="Times New Roman"/>
          <w:sz w:val="28"/>
        </w:rPr>
        <w:t xml:space="preserve">   </w:t>
      </w:r>
      <w:r>
        <w:rPr>
          <w:rFonts w:hint="eastAsia" w:ascii="Times New Roman" w:hAnsi="Times New Roman" w:eastAsia="仿宋" w:cs="Times New Roman"/>
          <w:sz w:val="28"/>
        </w:rPr>
        <w:t>落：固定值，2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8</w:t>
      </w:r>
      <w:r>
        <w:rPr>
          <w:rFonts w:hint="eastAsia" w:ascii="Times New Roman" w:hAnsi="Times New Roman" w:eastAsia="仿宋" w:cs="Times New Roman"/>
          <w:sz w:val="28"/>
        </w:rPr>
        <w:t>磅</w:t>
      </w:r>
    </w:p>
    <w:p w14:paraId="08FC5683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文末</w:t>
      </w:r>
      <w:r>
        <w:rPr>
          <w:rFonts w:hint="eastAsia" w:ascii="Times New Roman" w:hAnsi="Times New Roman" w:eastAsia="仿宋" w:cs="Times New Roman"/>
          <w:sz w:val="28"/>
        </w:rPr>
        <w:t>标注</w:t>
      </w:r>
      <w:r>
        <w:rPr>
          <w:rFonts w:ascii="Times New Roman" w:hAnsi="Times New Roman" w:eastAsia="仿宋" w:cs="Times New Roman"/>
          <w:sz w:val="28"/>
        </w:rPr>
        <w:t>：姓名+学号</w:t>
      </w:r>
    </w:p>
    <w:p w14:paraId="7512BF2A">
      <w:pPr>
        <w:rPr>
          <w:rFonts w:hint="eastAsia" w:ascii="Times New Roman" w:hAnsi="Times New Roman" w:eastAsia="仿宋" w:cs="Times New Roman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xZDM0YWM2Njk0NzU4M2Q3ODlmOWFmZTkwY2MyMDMifQ=="/>
  </w:docVars>
  <w:rsids>
    <w:rsidRoot w:val="006172E8"/>
    <w:rsid w:val="000557F8"/>
    <w:rsid w:val="000C2FB2"/>
    <w:rsid w:val="001352E9"/>
    <w:rsid w:val="00194EC8"/>
    <w:rsid w:val="001E7142"/>
    <w:rsid w:val="00253BD3"/>
    <w:rsid w:val="00321569"/>
    <w:rsid w:val="00367264"/>
    <w:rsid w:val="003A6784"/>
    <w:rsid w:val="003E6F38"/>
    <w:rsid w:val="003E7467"/>
    <w:rsid w:val="004A22CE"/>
    <w:rsid w:val="004D3D51"/>
    <w:rsid w:val="00546EF2"/>
    <w:rsid w:val="005C70E3"/>
    <w:rsid w:val="006172E8"/>
    <w:rsid w:val="006B7426"/>
    <w:rsid w:val="00705E0B"/>
    <w:rsid w:val="007514CD"/>
    <w:rsid w:val="007A0662"/>
    <w:rsid w:val="008C41A8"/>
    <w:rsid w:val="008C41DB"/>
    <w:rsid w:val="008E10E0"/>
    <w:rsid w:val="00965D3C"/>
    <w:rsid w:val="009A2C25"/>
    <w:rsid w:val="009B2DD8"/>
    <w:rsid w:val="00A80625"/>
    <w:rsid w:val="00AC1F13"/>
    <w:rsid w:val="00BD2944"/>
    <w:rsid w:val="00C56B46"/>
    <w:rsid w:val="00C732CC"/>
    <w:rsid w:val="00CF1B24"/>
    <w:rsid w:val="00D02E5F"/>
    <w:rsid w:val="00DA04B5"/>
    <w:rsid w:val="00DB1224"/>
    <w:rsid w:val="00DB18A2"/>
    <w:rsid w:val="00E67E67"/>
    <w:rsid w:val="00F52829"/>
    <w:rsid w:val="00F74FF2"/>
    <w:rsid w:val="00F9099C"/>
    <w:rsid w:val="0120046C"/>
    <w:rsid w:val="04461C11"/>
    <w:rsid w:val="0641494D"/>
    <w:rsid w:val="078A5AE6"/>
    <w:rsid w:val="087221D9"/>
    <w:rsid w:val="089D1B06"/>
    <w:rsid w:val="0B0673E9"/>
    <w:rsid w:val="0FC64C13"/>
    <w:rsid w:val="11B303E8"/>
    <w:rsid w:val="19334A93"/>
    <w:rsid w:val="1A885500"/>
    <w:rsid w:val="1A9E5BDB"/>
    <w:rsid w:val="1EE30266"/>
    <w:rsid w:val="206C24EE"/>
    <w:rsid w:val="25190AD7"/>
    <w:rsid w:val="26C7466D"/>
    <w:rsid w:val="3BD812CD"/>
    <w:rsid w:val="49063FB4"/>
    <w:rsid w:val="4A983A99"/>
    <w:rsid w:val="4D096BF9"/>
    <w:rsid w:val="4FA7451F"/>
    <w:rsid w:val="518A783A"/>
    <w:rsid w:val="53047E13"/>
    <w:rsid w:val="553A2725"/>
    <w:rsid w:val="5D1226F8"/>
    <w:rsid w:val="62E54004"/>
    <w:rsid w:val="633B6D7C"/>
    <w:rsid w:val="665A422F"/>
    <w:rsid w:val="682015C7"/>
    <w:rsid w:val="6DFD2BA6"/>
    <w:rsid w:val="75215693"/>
    <w:rsid w:val="758D3A84"/>
    <w:rsid w:val="763D607E"/>
    <w:rsid w:val="76EB4E07"/>
    <w:rsid w:val="7D07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2">
    <w:name w:val="bjh-p"/>
    <w:basedOn w:val="8"/>
    <w:qFormat/>
    <w:uiPriority w:val="0"/>
  </w:style>
  <w:style w:type="character" w:customStyle="1" w:styleId="13">
    <w:name w:val="标题 1 字符"/>
    <w:basedOn w:val="8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4">
    <w:name w:val="标题 2 字符"/>
    <w:basedOn w:val="8"/>
    <w:link w:val="3"/>
    <w:uiPriority w:val="0"/>
    <w:rPr>
      <w:rFonts w:ascii="Arial" w:hAnsi="Arial" w:eastAsia="黑体"/>
      <w:b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2820</Words>
  <Characters>2898</Characters>
  <Lines>27</Lines>
  <Paragraphs>7</Paragraphs>
  <TotalTime>63</TotalTime>
  <ScaleCrop>false</ScaleCrop>
  <LinksUpToDate>false</LinksUpToDate>
  <CharactersWithSpaces>2912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2022-10-18T06:29:00Z</dcterms:created>
  <dc:creator>admin</dc:creator>
  <cp:lastModifiedBy>魏嘉利 vialli</cp:lastModifiedBy>
  <dcterms:modified xsi:type="dcterms:W3CDTF">2025-12-05T06:53:10Z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4A36CCBD84ED4327A6DFD2183CE87AB0</vt:lpwstr>
  </property>
  <property fmtid="{D5CDD505-2E9C-101B-9397-08002B2CF9AE}" pid="4" name="KSOTemplateDocerSaveRecord">
    <vt:lpwstr>eyJoZGlkIjoiNzVjNDk3NDJkODVkYmRiMGM5ZGU4MGI5YzZhY2QzZmEiLCJ1c2VySWQiOiIzOTYxOTQ1MjEifQ==</vt:lpwstr>
  </property>
</Properties>
</file>