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4DD3A">
      <w:pPr>
        <w:pStyle w:val="3"/>
        <w:jc w:val="center"/>
      </w:pPr>
      <w:bookmarkStart w:id="0" w:name="_Toc4056"/>
      <w:r>
        <w:rPr>
          <w:rFonts w:ascii="微软雅黑" w:hAnsi="微软雅黑" w:eastAsia="微软雅黑"/>
          <w:b/>
          <w:i w:val="0"/>
          <w:sz w:val="36"/>
        </w:rPr>
        <w:t>Eye-in-Hand 与 Eye-to-Hand 手眼标定图文指南</w:t>
      </w:r>
      <w:bookmarkEnd w:id="0"/>
    </w:p>
    <w:p w14:paraId="68125B82"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sz w:val="32"/>
        </w:rPr>
        <w:t>目录</w:t>
      </w:r>
    </w:p>
    <w:p w14:paraId="6F08057D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_Toc4056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Eye-in-Hand 与 Eye-to-Hand 手眼标定图文指南</w:t>
      </w:r>
      <w:r>
        <w:tab/>
      </w:r>
      <w:r>
        <w:fldChar w:fldCharType="begin"/>
      </w:r>
      <w:r>
        <w:instrText xml:space="preserve"> PAGEREF _Toc4056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6BFD043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_Toc17528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1. 先建立概念：什么是“手眼标定”</w:t>
      </w:r>
      <w:r>
        <w:tab/>
      </w:r>
      <w:r>
        <w:fldChar w:fldCharType="begin"/>
      </w:r>
      <w:r>
        <w:instrText xml:space="preserve"> PAGEREF _Toc17528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54F7ED3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_Toc5935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 两种配置对照</w:t>
      </w:r>
      <w:r>
        <w:tab/>
      </w:r>
      <w:r>
        <w:fldChar w:fldCharType="begin"/>
      </w:r>
      <w:r>
        <w:instrText xml:space="preserve"> PAGEREF _Toc5935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ED9F2CB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_Toc28978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2.1 Eye-in-Hand：眼在手上</w:t>
      </w:r>
      <w:r>
        <w:tab/>
      </w:r>
      <w:r>
        <w:fldChar w:fldCharType="begin"/>
      </w:r>
      <w:r>
        <w:instrText xml:space="preserve"> PAGEREF _Toc28978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1D3429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_Toc16612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2.2 Eye-to-Hand：眼在手外</w:t>
      </w:r>
      <w:r>
        <w:tab/>
      </w:r>
      <w:r>
        <w:fldChar w:fldCharType="begin"/>
      </w:r>
      <w:r>
        <w:instrText xml:space="preserve"> PAGEREF _Toc16612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63B8AD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_Toc31759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 公式详解</w:t>
      </w:r>
      <w:r>
        <w:tab/>
      </w:r>
      <w:r>
        <w:fldChar w:fldCharType="begin"/>
      </w:r>
      <w:r>
        <w:instrText xml:space="preserve"> PAGEREF _Toc31759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075DDD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_Toc16762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3.1 齐次变换预备知识</w:t>
      </w:r>
      <w:r>
        <w:tab/>
      </w:r>
      <w:r>
        <w:fldChar w:fldCharType="begin"/>
      </w:r>
      <w:r>
        <w:instrText xml:space="preserve"> PAGEREF _Toc16762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C96271B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_Toc27494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3.2 统一主方程：AX = XB</w:t>
      </w:r>
      <w:r>
        <w:tab/>
      </w:r>
      <w:r>
        <w:fldChar w:fldCharType="begin"/>
      </w:r>
      <w:r>
        <w:instrText xml:space="preserve"> PAGEREF _Toc27494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F338B8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_Toc8774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3.3 Eye-in-Hand 的 A、B、X</w:t>
      </w:r>
      <w:r>
        <w:tab/>
      </w:r>
      <w:r>
        <w:fldChar w:fldCharType="begin"/>
      </w:r>
      <w:r>
        <w:instrText xml:space="preserve"> PAGEREF _Toc8774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2232384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_Toc13870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3.4 Eye-to-Hand 的 A、B、X</w:t>
      </w:r>
      <w:r>
        <w:tab/>
      </w:r>
      <w:r>
        <w:fldChar w:fldCharType="begin"/>
      </w:r>
      <w:r>
        <w:instrText xml:space="preserve"> PAGEREF _Toc13870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1827C5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_Toc3471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3.5 旋转–平移分解（理解求解时有用）</w:t>
      </w:r>
      <w:r>
        <w:tab/>
      </w:r>
      <w:r>
        <w:fldChar w:fldCharType="begin"/>
      </w:r>
      <w:r>
        <w:instrText xml:space="preserve"> PAGEREF _Toc3471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ABB9711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_Toc22542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3.6 误差与可辨识性要点</w:t>
      </w:r>
      <w:r>
        <w:tab/>
      </w:r>
      <w:r>
        <w:fldChar w:fldCharType="begin"/>
      </w:r>
      <w:r>
        <w:instrText xml:space="preserve"> PAGEREF _Toc22542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4965C5D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_Toc10457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 以 RealSense 为例：作用、物料与步骤</w:t>
      </w:r>
      <w:r>
        <w:tab/>
      </w:r>
      <w:r>
        <w:fldChar w:fldCharType="begin"/>
      </w:r>
      <w:r>
        <w:instrText xml:space="preserve"> PAGEREF _Toc10457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E3DB420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_Toc32529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4.1 标定的作用（为什么必须做）</w:t>
      </w:r>
      <w:r>
        <w:tab/>
      </w:r>
      <w:r>
        <w:fldChar w:fldCharType="begin"/>
      </w:r>
      <w:r>
        <w:instrText xml:space="preserve"> PAGEREF _Toc32529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2DE7B04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_Toc22094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4.2 物料清单（BOM）</w:t>
      </w:r>
      <w:r>
        <w:tab/>
      </w:r>
      <w:r>
        <w:fldChar w:fldCharType="begin"/>
      </w:r>
      <w:r>
        <w:instrText xml:space="preserve"> PAGEREF _Toc22094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D2568EC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_Toc26586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通用物料</w:t>
      </w:r>
      <w:r>
        <w:tab/>
      </w:r>
      <w:r>
        <w:fldChar w:fldCharType="begin"/>
      </w:r>
      <w:r>
        <w:instrText xml:space="preserve"> PAGEREF _Toc26586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92EB69C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_Toc16031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Eye-in-Hand（腕部相机）专项</w:t>
      </w:r>
      <w:r>
        <w:tab/>
      </w:r>
      <w:r>
        <w:fldChar w:fldCharType="begin"/>
      </w:r>
      <w:r>
        <w:instrText xml:space="preserve"> PAGEREF _Toc16031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7467255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_Toc25734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Eye-to-Hand（场景相机）专项</w:t>
      </w:r>
      <w:r>
        <w:tab/>
      </w:r>
      <w:r>
        <w:fldChar w:fldCharType="begin"/>
      </w:r>
      <w:r>
        <w:instrText xml:space="preserve"> PAGEREF _Toc25734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F0A639F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_Toc20189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4.3 操作步骤总览</w:t>
      </w:r>
      <w:r>
        <w:tab/>
      </w:r>
      <w:r>
        <w:fldChar w:fldCharType="begin"/>
      </w:r>
      <w:r>
        <w:instrText xml:space="preserve"> PAGEREF _Toc20189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7DF180F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_Toc11174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A：共同准备</w:t>
      </w:r>
      <w:r>
        <w:tab/>
      </w:r>
      <w:r>
        <w:fldChar w:fldCharType="begin"/>
      </w:r>
      <w:r>
        <w:instrText xml:space="preserve"> PAGEREF _Toc11174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D27578B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_Toc29200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B：Eye-in-Hand（腕部 RealSense）采集与求解</w:t>
      </w:r>
      <w:r>
        <w:tab/>
      </w:r>
      <w:r>
        <w:fldChar w:fldCharType="begin"/>
      </w:r>
      <w:r>
        <w:instrText xml:space="preserve"> PAGEREF _Toc29200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34FDB0B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_Toc14321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C：Eye-to-Hand（场景 RealSense）采集与求解</w:t>
      </w:r>
      <w:r>
        <w:tab/>
      </w:r>
      <w:r>
        <w:fldChar w:fldCharType="begin"/>
      </w:r>
      <w:r>
        <w:instrText xml:space="preserve"> PAGEREF _Toc14321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5E1CA81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_Toc19613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D：双相机协同部署建议</w:t>
      </w:r>
      <w:r>
        <w:tab/>
      </w:r>
      <w:r>
        <w:fldChar w:fldCharType="begin"/>
      </w:r>
      <w:r>
        <w:instrText xml:space="preserve"> PAGEREF _Toc19613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3E4A518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_Toc1697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4.4 常见问题速查</w:t>
      </w:r>
      <w:r>
        <w:tab/>
      </w:r>
      <w:r>
        <w:fldChar w:fldCharType="begin"/>
      </w:r>
      <w:r>
        <w:instrText xml:space="preserve"> PAGEREF _Toc1697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77EE62A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_Toc12210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 小结</w:t>
      </w:r>
      <w:r>
        <w:tab/>
      </w:r>
      <w:r>
        <w:fldChar w:fldCharType="begin"/>
      </w:r>
      <w:r>
        <w:instrText xml:space="preserve"> PAGEREF _Toc12210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C14EC93">
      <w:pPr>
        <w:spacing w:before="0" w:after="120" w:line="360" w:lineRule="auto"/>
      </w:pPr>
      <w:r>
        <w:fldChar w:fldCharType="end"/>
      </w:r>
    </w:p>
    <w:p w14:paraId="02CC4098">
      <w:r>
        <w:br w:type="page"/>
      </w:r>
    </w:p>
    <w:p w14:paraId="39AF864A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面向机器人视觉与 Intel RealSense 腕部/场景相机部署的实用说明：先建立直观概念，再展开公式，最后给出物料清单与操作步骤。</w:t>
      </w:r>
    </w:p>
    <w:p w14:paraId="24E0E058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1BB5CACE">
      <w:pPr>
        <w:pStyle w:val="3"/>
      </w:pPr>
      <w:bookmarkStart w:id="1" w:name="_Toc17528"/>
      <w:r>
        <w:rPr>
          <w:rFonts w:ascii="微软雅黑" w:hAnsi="微软雅黑" w:eastAsia="微软雅黑"/>
          <w:b/>
          <w:i w:val="0"/>
          <w:sz w:val="36"/>
        </w:rPr>
        <w:t>1. 先建立概念：什么是“手眼标定”</w:t>
      </w:r>
      <w:bookmarkEnd w:id="1"/>
    </w:p>
    <w:p w14:paraId="166FF8D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机器人要“看见并动手”，必须把相机坐标系里的点，变换到机械臂基座（或工具）坐标系。手眼标定要做的，就是求出这一段</w:t>
      </w:r>
      <w:r>
        <w:rPr>
          <w:rFonts w:ascii="微软雅黑" w:hAnsi="微软雅黑" w:eastAsia="微软雅黑"/>
          <w:b/>
          <w:i w:val="0"/>
          <w:sz w:val="24"/>
        </w:rPr>
        <w:t>刚性外参</w:t>
      </w:r>
      <w:r>
        <w:rPr>
          <w:rFonts w:ascii="微软雅黑" w:hAnsi="微软雅黑" w:eastAsia="微软雅黑"/>
          <w:b w:val="0"/>
          <w:i w:val="0"/>
          <w:sz w:val="24"/>
        </w:rPr>
        <w:t>——相机相对末端，或相机相对基座的固定位姿。</w:t>
      </w:r>
    </w:p>
    <w:p w14:paraId="4B4DF3C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手（Hand）</w:t>
      </w:r>
      <w:r>
        <w:rPr>
          <w:rFonts w:ascii="微软雅黑" w:hAnsi="微软雅黑" w:eastAsia="微软雅黑"/>
          <w:b w:val="0"/>
          <w:i w:val="0"/>
          <w:sz w:val="24"/>
        </w:rPr>
        <w:t>：机械臂末端法兰、夹爪或工具坐标系（End-Effector, EE）。</w:t>
      </w:r>
    </w:p>
    <w:p w14:paraId="31440C86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眼（Eye）</w:t>
      </w:r>
      <w:r>
        <w:rPr>
          <w:rFonts w:ascii="微软雅黑" w:hAnsi="微软雅黑" w:eastAsia="微软雅黑"/>
          <w:b w:val="0"/>
          <w:i w:val="0"/>
          <w:sz w:val="24"/>
        </w:rPr>
        <w:t>：相机坐标系（对 RealSense 通常取彩色光心或官方外参定义的相机系）。</w:t>
      </w:r>
    </w:p>
    <w:p w14:paraId="2406C324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标定板（Target / Board）</w:t>
      </w:r>
      <w:r>
        <w:rPr>
          <w:rFonts w:ascii="微软雅黑" w:hAnsi="微软雅黑" w:eastAsia="微软雅黑"/>
          <w:b w:val="0"/>
          <w:i w:val="0"/>
          <w:sz w:val="24"/>
        </w:rPr>
        <w:t>：棋盘格、ChArUco、AprilTag 等，用于从图像恢复板相对相机的位姿。</w:t>
      </w:r>
    </w:p>
    <w:p w14:paraId="4AD1897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B947BCF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【插图地址】assets/1.transform_chain.png</w:t>
      </w:r>
    </w:p>
    <w:p w14:paraId="58DB3A16">
      <w:pPr>
        <w:spacing w:before="0" w:after="0" w:line="360" w:lineRule="auto"/>
        <w:jc w:val="center"/>
      </w:pPr>
      <w:r>
        <w:drawing>
          <wp:inline distT="0" distB="0" distL="114300" distR="114300">
            <wp:extent cx="4984115" cy="2159635"/>
            <wp:effectExtent l="0" t="0" r="146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61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1D3E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图：从基座到末端、相机、标定板的齐次变换链。</w:t>
      </w:r>
    </w:p>
    <w:p w14:paraId="0977A8C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1BF9519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直观口诀：</w:t>
      </w:r>
    </w:p>
    <w:p w14:paraId="79B8240F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眼在手上（Eye-in-Hand）</w:t>
      </w:r>
      <w:r>
        <w:rPr>
          <w:rFonts w:ascii="微软雅黑" w:hAnsi="微软雅黑" w:eastAsia="微软雅黑"/>
          <w:b w:val="0"/>
          <w:i w:val="0"/>
          <w:sz w:val="24"/>
        </w:rPr>
        <w:t>：相机跟着手臂走，板子通常钉在桌上。</w:t>
      </w:r>
    </w:p>
    <w:p w14:paraId="77D7CC7D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眼在手外（Eye-to-Hand）</w:t>
      </w:r>
      <w:r>
        <w:rPr>
          <w:rFonts w:ascii="微软雅黑" w:hAnsi="微软雅黑" w:eastAsia="微软雅黑"/>
          <w:b w:val="0"/>
          <w:i w:val="0"/>
          <w:sz w:val="24"/>
        </w:rPr>
        <w:t>：相机钉在场景里，板子通常夹在手上。</w:t>
      </w:r>
    </w:p>
    <w:p w14:paraId="39DE832F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B4419F6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【插图地址】assets/2.choose_config.png</w:t>
      </w:r>
    </w:p>
    <w:p w14:paraId="673F1847">
      <w:pPr>
        <w:spacing w:before="0" w:after="0" w:line="360" w:lineRule="auto"/>
        <w:jc w:val="center"/>
      </w:pPr>
      <w:r>
        <w:drawing>
          <wp:inline distT="0" distB="0" distL="114300" distR="114300">
            <wp:extent cx="1767840" cy="215963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92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9E0C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图：按相机安装位置选择 Eye-in-Hand 或 Eye-to-Hand。</w:t>
      </w:r>
    </w:p>
    <w:p w14:paraId="5DA5872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00D88C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2D445674">
      <w:pPr>
        <w:pStyle w:val="3"/>
      </w:pPr>
      <w:bookmarkStart w:id="2" w:name="_Toc5935"/>
      <w:r>
        <w:rPr>
          <w:rFonts w:ascii="微软雅黑" w:hAnsi="微软雅黑" w:eastAsia="微软雅黑"/>
          <w:b/>
          <w:i w:val="0"/>
          <w:sz w:val="36"/>
        </w:rPr>
        <w:t>2. 两种配置对照</w:t>
      </w:r>
      <w:bookmarkEnd w:id="2"/>
    </w:p>
    <w:p w14:paraId="0AC7596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10B8567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【插图地址】assets/3.compare_configs.png</w:t>
      </w:r>
    </w:p>
    <w:p w14:paraId="428CFE35">
      <w:pPr>
        <w:spacing w:before="0" w:after="0" w:line="360" w:lineRule="auto"/>
        <w:jc w:val="center"/>
      </w:pPr>
      <w:r>
        <w:drawing>
          <wp:inline distT="0" distB="0" distL="114300" distR="114300">
            <wp:extent cx="4628515" cy="215963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25F3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图：Eye-in-Hand 与 Eye-to-Hand 的安装与求解目标对比。</w:t>
      </w:r>
    </w:p>
    <w:p w14:paraId="397FC6A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D04C2FD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1996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135C86B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项目</w:t>
            </w:r>
          </w:p>
        </w:tc>
        <w:tc>
          <w:tcPr>
            <w:tcW w:w="3600" w:type="dxa"/>
            <w:shd w:val="clear" w:color="auto" w:fill="D9E2F3"/>
          </w:tcPr>
          <w:p w14:paraId="07EB56F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Eye-in-Hand（腕部相机）</w:t>
            </w:r>
          </w:p>
        </w:tc>
        <w:tc>
          <w:tcPr>
            <w:tcW w:w="3600" w:type="dxa"/>
            <w:shd w:val="clear" w:color="auto" w:fill="D9E2F3"/>
          </w:tcPr>
          <w:p w14:paraId="4CA0853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Eye-to-Hand（场景相机）</w:t>
            </w:r>
          </w:p>
        </w:tc>
      </w:tr>
      <w:tr w14:paraId="107C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2A34A57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相机安装</w:t>
            </w:r>
          </w:p>
        </w:tc>
        <w:tc>
          <w:tcPr>
            <w:tcW w:w="3600" w:type="dxa"/>
          </w:tcPr>
          <w:p w14:paraId="5BA2650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刚性固定在法兰/腕部支架</w:t>
            </w:r>
          </w:p>
        </w:tc>
        <w:tc>
          <w:tcPr>
            <w:tcW w:w="3600" w:type="dxa"/>
          </w:tcPr>
          <w:p w14:paraId="3B849B2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刚性固定在支架、龙门或天花板</w:t>
            </w:r>
          </w:p>
        </w:tc>
      </w:tr>
      <w:tr w14:paraId="27C55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861092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标定板位置</w:t>
            </w:r>
          </w:p>
        </w:tc>
        <w:tc>
          <w:tcPr>
            <w:tcW w:w="3600" w:type="dxa"/>
          </w:tcPr>
          <w:p w14:paraId="0203F59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固定在工作台/夹具上</w:t>
            </w:r>
          </w:p>
        </w:tc>
        <w:tc>
          <w:tcPr>
            <w:tcW w:w="3600" w:type="dxa"/>
          </w:tcPr>
          <w:p w14:paraId="19A2D0C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固定在末端或夹爪上</w:t>
            </w:r>
          </w:p>
        </w:tc>
      </w:tr>
      <w:tr w14:paraId="2F7B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291F84A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主要求解量</w:t>
            </w:r>
          </w:p>
        </w:tc>
        <w:tc>
          <w:tcPr>
            <w:tcW w:w="3600" w:type="dxa"/>
          </w:tcPr>
          <w:p w14:paraId="6F09609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相机相对末端外参（见下式）</w:t>
            </w:r>
          </w:p>
        </w:tc>
        <w:tc>
          <w:tcPr>
            <w:tcW w:w="3600" w:type="dxa"/>
          </w:tcPr>
          <w:p w14:paraId="3C42FD2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先求手–板关系，再合成相机相对基座外参</w:t>
            </w:r>
          </w:p>
        </w:tc>
      </w:tr>
      <w:tr w14:paraId="0D8B7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79C118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典型用途</w:t>
            </w:r>
          </w:p>
        </w:tc>
        <w:tc>
          <w:tcPr>
            <w:tcW w:w="3600" w:type="dxa"/>
          </w:tcPr>
          <w:p w14:paraId="04C06D1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近距精定位、视觉伺服、抓取修正</w:t>
            </w:r>
          </w:p>
        </w:tc>
        <w:tc>
          <w:tcPr>
            <w:tcW w:w="3600" w:type="dxa"/>
          </w:tcPr>
          <w:p w14:paraId="1F4C8E3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全局粗定位、监控、多机协同</w:t>
            </w:r>
          </w:p>
        </w:tc>
      </w:tr>
      <w:tr w14:paraId="51E6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D717C3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示例</w:t>
            </w:r>
          </w:p>
        </w:tc>
        <w:tc>
          <w:tcPr>
            <w:tcW w:w="3600" w:type="dxa"/>
          </w:tcPr>
          <w:p w14:paraId="14A5C9D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 D405 / D435</w:t>
            </w:r>
          </w:p>
        </w:tc>
        <w:tc>
          <w:tcPr>
            <w:tcW w:w="3600" w:type="dxa"/>
          </w:tcPr>
          <w:p w14:paraId="091917F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 D435 / D455</w:t>
            </w:r>
          </w:p>
        </w:tc>
      </w:tr>
    </w:tbl>
    <w:p w14:paraId="01C0522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963F7F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Eye-in-Hand 主要求解量：</w:t>
      </w:r>
    </w:p>
    <w:p w14:paraId="06EC654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09EEAF0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【插图地址】assets/4.inline_X_eeTcam.png</w:t>
      </w:r>
    </w:p>
    <w:p w14:paraId="397A7954">
      <w:pPr>
        <w:spacing w:before="0" w:after="0" w:line="360" w:lineRule="auto"/>
        <w:jc w:val="center"/>
      </w:pPr>
      <w:r>
        <w:drawing>
          <wp:inline distT="0" distB="0" distL="114300" distR="114300">
            <wp:extent cx="1007745" cy="269875"/>
            <wp:effectExtent l="0" t="0" r="133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58C3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5B424B6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Eye-to-Hand 最终常得到：</w:t>
      </w:r>
    </w:p>
    <w:p w14:paraId="68727870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FE093B0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【插图地址】assets/5.inline_baseTcam.png</w:t>
      </w:r>
    </w:p>
    <w:p w14:paraId="74136081">
      <w:pPr>
        <w:spacing w:before="0" w:after="0" w:line="360" w:lineRule="auto"/>
        <w:jc w:val="center"/>
      </w:pPr>
      <w:r>
        <w:drawing>
          <wp:inline distT="0" distB="0" distL="114300" distR="114300">
            <wp:extent cx="652780" cy="26987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35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EAF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533BA74">
      <w:pPr>
        <w:pStyle w:val="4"/>
      </w:pPr>
      <w:bookmarkStart w:id="3" w:name="_Toc28978"/>
      <w:r>
        <w:rPr>
          <w:rFonts w:ascii="微软雅黑" w:hAnsi="微软雅黑" w:eastAsia="微软雅黑"/>
          <w:b/>
          <w:i w:val="0"/>
          <w:sz w:val="32"/>
        </w:rPr>
        <w:t>2.1 Eye-in-Hand：眼在手上</w:t>
      </w:r>
      <w:bookmarkEnd w:id="3"/>
    </w:p>
    <w:p w14:paraId="26596114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相机与末端刚性连接。机械臂运动时，相机相对末端不变，相对基座在变；桌面上的标定板相对基座不变。</w:t>
      </w:r>
    </w:p>
    <w:p w14:paraId="74ED3B8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2834FEE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【插图地址】assets/6.eye_in_hand.png</w:t>
      </w:r>
    </w:p>
    <w:p w14:paraId="4A114B0C">
      <w:pPr>
        <w:spacing w:before="0" w:after="0" w:line="360" w:lineRule="auto"/>
        <w:jc w:val="center"/>
      </w:pPr>
      <w:r>
        <w:drawing>
          <wp:inline distT="0" distB="0" distL="114300" distR="114300">
            <wp:extent cx="3599815" cy="2159635"/>
            <wp:effectExtent l="0" t="0" r="1206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A03A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图：腕部 RealSense 观察固定标定板，求解相机相对末端的外参 X。</w:t>
      </w:r>
    </w:p>
    <w:p w14:paraId="6537B4A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792703E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/>
          <w:i w:val="0"/>
          <w:sz w:val="24"/>
        </w:rPr>
        <w:t>闭环直觉</w:t>
      </w:r>
      <w:r>
        <w:rPr>
          <w:rFonts w:ascii="微软雅黑" w:hAnsi="微软雅黑" w:eastAsia="微软雅黑"/>
          <w:b w:val="0"/>
          <w:i w:val="0"/>
          <w:sz w:val="24"/>
        </w:rPr>
        <w:t>：从基座出发，经末端到相机再到标定板，应与“基座到标定板”的固定关系一致。相邻两次采样之间，末端相对运动 A 与标定板在相机中的相对运动 B，通过未知外参 X 耦合，得到经典方程：</w:t>
      </w:r>
    </w:p>
    <w:p w14:paraId="1EA87A5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FA9A70F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【插图地址】assets/7.inline_axxb.png</w:t>
      </w:r>
    </w:p>
    <w:p w14:paraId="2C65BDC5">
      <w:pPr>
        <w:spacing w:before="0" w:after="0" w:line="360" w:lineRule="auto"/>
        <w:jc w:val="center"/>
      </w:pPr>
      <w:r>
        <w:drawing>
          <wp:inline distT="0" distB="0" distL="114300" distR="114300">
            <wp:extent cx="1035685" cy="269875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5818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3334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516A47D">
      <w:pPr>
        <w:pStyle w:val="4"/>
      </w:pPr>
      <w:bookmarkStart w:id="4" w:name="_Toc16612"/>
      <w:r>
        <w:rPr>
          <w:rFonts w:ascii="微软雅黑" w:hAnsi="微软雅黑" w:eastAsia="微软雅黑"/>
          <w:b/>
          <w:i w:val="0"/>
          <w:sz w:val="32"/>
        </w:rPr>
        <w:t>2.2 Eye-to-Hand：眼在手外</w:t>
      </w:r>
      <w:bookmarkEnd w:id="4"/>
    </w:p>
    <w:p w14:paraId="181DA62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相机固定在场景中，标定板装在末端。手臂移动板子，固定相机从不同视角观察。</w:t>
      </w:r>
    </w:p>
    <w:p w14:paraId="5EDDEEE9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37A8332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【插图地址】assets/8.eye_to_hand.png</w:t>
      </w:r>
    </w:p>
    <w:p w14:paraId="12E70B72">
      <w:pPr>
        <w:spacing w:before="0" w:after="0" w:line="360" w:lineRule="auto"/>
        <w:jc w:val="center"/>
      </w:pPr>
      <w:r>
        <w:drawing>
          <wp:inline distT="0" distB="0" distL="114300" distR="114300">
            <wp:extent cx="3599815" cy="2159635"/>
            <wp:effectExtent l="0" t="0" r="1206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3170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图：场景 RealSense 观察末端标定板，最终得到相机相对基座的外参。</w:t>
      </w:r>
    </w:p>
    <w:p w14:paraId="4EAEDE0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759703F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OpenCV 等库对 Eye-to-Hand 仍可化归为 AX=XB，但 A、B、X 的定义与 Eye-in-Hand 不同（见第 3 节）。得到手–板关系后，再与某次观测的板–相机位姿、末端–基座位姿合成，得到：</w:t>
      </w:r>
    </w:p>
    <w:p w14:paraId="4FB93A3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AD3FF74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【插图地址】assets/9.inline_baseTcam.png</w:t>
      </w:r>
    </w:p>
    <w:p w14:paraId="248D69B2">
      <w:pPr>
        <w:spacing w:before="0" w:after="0" w:line="360" w:lineRule="auto"/>
        <w:jc w:val="center"/>
      </w:pPr>
      <w:r>
        <w:drawing>
          <wp:inline distT="0" distB="0" distL="114300" distR="114300">
            <wp:extent cx="652780" cy="26987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35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E59D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74F5DD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19A9E219">
      <w:pPr>
        <w:pStyle w:val="3"/>
      </w:pPr>
      <w:bookmarkStart w:id="5" w:name="_Toc31759"/>
      <w:r>
        <w:rPr>
          <w:rFonts w:ascii="微软雅黑" w:hAnsi="微软雅黑" w:eastAsia="微软雅黑"/>
          <w:b/>
          <w:i w:val="0"/>
          <w:sz w:val="36"/>
        </w:rPr>
        <w:t>3. 公式详解</w:t>
      </w:r>
      <w:bookmarkEnd w:id="5"/>
    </w:p>
    <w:p w14:paraId="0F343EA2">
      <w:pPr>
        <w:pStyle w:val="4"/>
      </w:pPr>
      <w:bookmarkStart w:id="6" w:name="_Toc16762"/>
      <w:r>
        <w:rPr>
          <w:rFonts w:ascii="微软雅黑" w:hAnsi="微软雅黑" w:eastAsia="微软雅黑"/>
          <w:b/>
          <w:i w:val="0"/>
          <w:sz w:val="32"/>
        </w:rPr>
        <w:t>3.1 齐次变换预备知识</w:t>
      </w:r>
      <w:bookmarkEnd w:id="6"/>
    </w:p>
    <w:p w14:paraId="558D87B8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三维刚体位姿用如下 4×4 齐次矩阵表示：</w:t>
      </w:r>
    </w:p>
    <w:p w14:paraId="1B3C38AC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6217FF4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【插图地址】assets/10.eq_homogeneous_T.png</w:t>
      </w:r>
    </w:p>
    <w:p w14:paraId="6CF38616">
      <w:pPr>
        <w:spacing w:before="0" w:after="0" w:line="360" w:lineRule="auto"/>
        <w:jc w:val="center"/>
      </w:pPr>
      <w:r>
        <w:drawing>
          <wp:inline distT="0" distB="0" distL="114300" distR="114300">
            <wp:extent cx="2851150" cy="539750"/>
            <wp:effectExtent l="0" t="0" r="1397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902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4DF15AB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记号</w:t>
      </w:r>
    </w:p>
    <w:p w14:paraId="41A8ABA0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93360E3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【插图地址】assets/11.inline_aTb.png</w:t>
      </w:r>
    </w:p>
    <w:p w14:paraId="0E7D6B73">
      <w:pPr>
        <w:spacing w:before="0" w:after="0" w:line="360" w:lineRule="auto"/>
        <w:jc w:val="center"/>
      </w:pPr>
      <w:r>
        <w:drawing>
          <wp:inline distT="0" distB="0" distL="114300" distR="114300">
            <wp:extent cx="368935" cy="269875"/>
            <wp:effectExtent l="0" t="0" r="1206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E4F0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4A3628B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表示把 b 系中的点变到 a 系：</w:t>
      </w:r>
    </w:p>
    <w:p w14:paraId="3CB1890C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92B2E16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【插图地址】assets/12.eq_point_transform.png</w:t>
      </w:r>
    </w:p>
    <w:p w14:paraId="7681A38F">
      <w:pPr>
        <w:spacing w:before="0" w:after="0" w:line="360" w:lineRule="auto"/>
        <w:jc w:val="center"/>
      </w:pPr>
      <w:r>
        <w:drawing>
          <wp:inline distT="0" distB="0" distL="114300" distR="114300">
            <wp:extent cx="852805" cy="269875"/>
            <wp:effectExtent l="0" t="0" r="63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3043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AD57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0B01F3C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链式法则：</w:t>
      </w:r>
    </w:p>
    <w:p w14:paraId="096601E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7116834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【插图地址】assets/13.eq_chain_rule.png</w:t>
      </w:r>
    </w:p>
    <w:p w14:paraId="5C272355">
      <w:pPr>
        <w:spacing w:before="0" w:after="0" w:line="360" w:lineRule="auto"/>
        <w:jc w:val="center"/>
      </w:pPr>
      <w:r>
        <w:drawing>
          <wp:inline distT="0" distB="0" distL="114300" distR="114300">
            <wp:extent cx="1022985" cy="269875"/>
            <wp:effectExtent l="0" t="0" r="1333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3582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B60D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6FFFC2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逆变换：</w:t>
      </w:r>
    </w:p>
    <w:p w14:paraId="6358B497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C6CF026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【插图地址】assets/14.eq_inverse.png</w:t>
      </w:r>
    </w:p>
    <w:p w14:paraId="19F1C7D3">
      <w:pPr>
        <w:spacing w:before="0" w:after="0" w:line="360" w:lineRule="auto"/>
        <w:jc w:val="center"/>
      </w:pPr>
      <w:r>
        <w:drawing>
          <wp:inline distT="0" distB="0" distL="114300" distR="114300">
            <wp:extent cx="2457450" cy="539750"/>
            <wp:effectExtent l="0" t="0" r="1143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808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4593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AF4A95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机器人控制器通常直接给出末端相对基座位姿（正向运动学）：</w:t>
      </w:r>
    </w:p>
    <w:p w14:paraId="35050264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A4760E7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【插图地址】assets/15.inline_baseTee.png</w:t>
      </w:r>
    </w:p>
    <w:p w14:paraId="72C134B8">
      <w:pPr>
        <w:spacing w:before="0" w:after="0" w:line="360" w:lineRule="auto"/>
        <w:jc w:val="center"/>
      </w:pPr>
      <w:r>
        <w:drawing>
          <wp:inline distT="0" distB="0" distL="114300" distR="114300">
            <wp:extent cx="548005" cy="269875"/>
            <wp:effectExtent l="0" t="0" r="63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59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BA3F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2D1711A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相机通过标定板检测给出标定板相对相机位姿：</w:t>
      </w:r>
    </w:p>
    <w:p w14:paraId="4DA933A7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5EC3709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【插图地址】assets/16.inline_camTtgt.png</w:t>
      </w:r>
    </w:p>
    <w:p w14:paraId="00649494">
      <w:pPr>
        <w:spacing w:before="0" w:after="0" w:line="360" w:lineRule="auto"/>
        <w:jc w:val="center"/>
      </w:pPr>
      <w:r>
        <w:drawing>
          <wp:inline distT="0" distB="0" distL="114300" distR="114300">
            <wp:extent cx="580390" cy="269875"/>
            <wp:effectExtent l="0" t="0" r="1397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909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D56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5534CBB">
      <w:pPr>
        <w:pStyle w:val="4"/>
      </w:pPr>
      <w:bookmarkStart w:id="7" w:name="_Toc27494"/>
      <w:r>
        <w:rPr>
          <w:rFonts w:ascii="微软雅黑" w:hAnsi="微软雅黑" w:eastAsia="微软雅黑"/>
          <w:b/>
          <w:i w:val="0"/>
          <w:sz w:val="32"/>
        </w:rPr>
        <w:t>3.2 统一主方程：AX = XB</w:t>
      </w:r>
      <w:bookmarkEnd w:id="7"/>
    </w:p>
    <w:p w14:paraId="65E6425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对相邻（或任意两帧）位姿 i 与 j，可构造相对运动，使未知刚性外参 X 满足：</w:t>
      </w:r>
    </w:p>
    <w:p w14:paraId="478B174F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A480B4A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【插图地址】assets/17.eq_axxb.png</w:t>
      </w:r>
    </w:p>
    <w:p w14:paraId="234E6871">
      <w:pPr>
        <w:spacing w:before="0" w:after="0" w:line="360" w:lineRule="auto"/>
        <w:jc w:val="center"/>
      </w:pPr>
      <w:r>
        <w:drawing>
          <wp:inline distT="0" distB="0" distL="114300" distR="114300">
            <wp:extent cx="1104265" cy="269875"/>
            <wp:effectExtent l="0" t="0" r="825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4545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FB34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2850B4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FD092D4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【插图地址】assets/18.axxb_meaning.png</w:t>
      </w:r>
    </w:p>
    <w:p w14:paraId="3F3A16D4">
      <w:pPr>
        <w:spacing w:before="0" w:after="0" w:line="360" w:lineRule="auto"/>
        <w:jc w:val="center"/>
      </w:pPr>
      <w:r>
        <w:drawing>
          <wp:inline distT="0" distB="0" distL="114300" distR="114300">
            <wp:extent cx="5183505" cy="2159635"/>
            <wp:effectExtent l="0" t="0" r="1333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399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0377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图：A 来自机器人侧相对运动，B 来自视觉侧相对运动，X 为待求刚性外参。</w:t>
      </w:r>
    </w:p>
    <w:p w14:paraId="67F5262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6B2E55A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几何含义：机器人侧走一段相对刚体变换 A，视觉侧走一段相对刚体变换 B；中间夹着的外参 X 在两种顺序下应一致，故 AX=XB。</w:t>
      </w:r>
    </w:p>
    <w:p w14:paraId="73042AB6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单组 (A, B) 解不唯一。实践中采集不少于约 10 组位姿（建议 15–30），得到多组相对运动对，再最小二乘或闭式方法求 X。旋转轴尽量不全平行，平移与姿态变化要充分。</w:t>
      </w:r>
    </w:p>
    <w:p w14:paraId="4615875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9FAC942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【插图地址】assets/19.inline_AkBk.png</w:t>
      </w:r>
    </w:p>
    <w:p w14:paraId="0A9B3D58">
      <w:pPr>
        <w:spacing w:before="0" w:after="0" w:line="360" w:lineRule="auto"/>
        <w:jc w:val="center"/>
      </w:pPr>
      <w:r>
        <w:drawing>
          <wp:inline distT="0" distB="0" distL="114300" distR="114300">
            <wp:extent cx="749300" cy="269875"/>
            <wp:effectExtent l="0" t="0" r="1270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9647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423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EF09D84">
      <w:pPr>
        <w:pStyle w:val="4"/>
      </w:pPr>
      <w:bookmarkStart w:id="8" w:name="_Toc8774"/>
      <w:r>
        <w:rPr>
          <w:rFonts w:ascii="微软雅黑" w:hAnsi="微软雅黑" w:eastAsia="微软雅黑"/>
          <w:b/>
          <w:i w:val="0"/>
          <w:sz w:val="32"/>
        </w:rPr>
        <w:t>3.3 Eye-in-Hand 的 A、B、X</w:t>
      </w:r>
      <w:bookmarkEnd w:id="8"/>
    </w:p>
    <w:p w14:paraId="2E1B13B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令：</w:t>
      </w:r>
    </w:p>
    <w:p w14:paraId="51285093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第 i 次采样时末端相对基座（机器人 API 已知）：</w:t>
      </w:r>
    </w:p>
    <w:p w14:paraId="6FE87377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5BC53AF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【插图地址】assets/20.inline_baseTee.png</w:t>
      </w:r>
    </w:p>
    <w:p w14:paraId="1C1B130E">
      <w:pPr>
        <w:spacing w:before="0" w:after="0" w:line="360" w:lineRule="auto"/>
        <w:jc w:val="center"/>
      </w:pPr>
      <w:r>
        <w:drawing>
          <wp:inline distT="0" distB="0" distL="114300" distR="114300">
            <wp:extent cx="548005" cy="26987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59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82B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6BD83A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第 i 次采样时标定板相对相机（视觉已知）：</w:t>
      </w:r>
    </w:p>
    <w:p w14:paraId="1009849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F70EDA7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【插图地址】assets/21.inline_camTtgt.png</w:t>
      </w:r>
    </w:p>
    <w:p w14:paraId="14F249F1">
      <w:pPr>
        <w:spacing w:before="0" w:after="0" w:line="360" w:lineRule="auto"/>
        <w:jc w:val="center"/>
      </w:pPr>
      <w:r>
        <w:drawing>
          <wp:inline distT="0" distB="0" distL="114300" distR="114300">
            <wp:extent cx="580390" cy="269875"/>
            <wp:effectExtent l="0" t="0" r="1397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909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6F7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0DE6642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待求：相机相对末端（安装后近似不变）：</w:t>
      </w:r>
    </w:p>
    <w:p w14:paraId="3348F83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E4824DC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【插图地址】assets/22.inline_X_eeTcam.png</w:t>
      </w:r>
    </w:p>
    <w:p w14:paraId="59725ED8">
      <w:pPr>
        <w:spacing w:before="0" w:after="0" w:line="360" w:lineRule="auto"/>
        <w:jc w:val="center"/>
      </w:pPr>
      <w:r>
        <w:drawing>
          <wp:inline distT="0" distB="0" distL="114300" distR="114300">
            <wp:extent cx="1007745" cy="269875"/>
            <wp:effectExtent l="0" t="0" r="1333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4ED8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414210A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相对运动常用定义（与 OpenCV </w:t>
      </w:r>
      <w:r>
        <w:rPr>
          <w:rFonts w:ascii="Consolas" w:hAnsi="Consolas" w:eastAsia="微软雅黑"/>
          <w:b w:val="0"/>
          <w:i w:val="0"/>
          <w:sz w:val="21"/>
        </w:rPr>
        <w:t>calibrateHandEye</w:t>
      </w:r>
      <w:r>
        <w:rPr>
          <w:rFonts w:ascii="微软雅黑" w:hAnsi="微软雅黑" w:eastAsia="微软雅黑"/>
          <w:b w:val="0"/>
          <w:i w:val="0"/>
          <w:sz w:val="24"/>
        </w:rPr>
        <w:t xml:space="preserve"> 的 Eye-in-Hand 约定一致）：</w:t>
      </w:r>
    </w:p>
    <w:p w14:paraId="5D4647F3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0015107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【插图地址】assets/23.eq_eih_A.png</w:t>
      </w:r>
    </w:p>
    <w:p w14:paraId="1F359AE3">
      <w:pPr>
        <w:spacing w:before="0" w:after="0" w:line="360" w:lineRule="auto"/>
        <w:jc w:val="center"/>
      </w:pPr>
      <w:r>
        <w:drawing>
          <wp:inline distT="0" distB="0" distL="114300" distR="114300">
            <wp:extent cx="1533525" cy="269875"/>
            <wp:effectExtent l="0" t="0" r="571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829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371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EA3163F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231C31A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【插图地址】assets/24.eq_eih_B.png</w:t>
      </w:r>
    </w:p>
    <w:p w14:paraId="0F4F238B">
      <w:pPr>
        <w:spacing w:before="0" w:after="0" w:line="360" w:lineRule="auto"/>
        <w:jc w:val="center"/>
      </w:pPr>
      <w:r>
        <w:drawing>
          <wp:inline distT="0" distB="0" distL="114300" distR="114300">
            <wp:extent cx="1818640" cy="269875"/>
            <wp:effectExtent l="0" t="0" r="1016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9124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AB5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F4A913A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则：</w:t>
      </w:r>
    </w:p>
    <w:p w14:paraId="21C60B0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FC2FA4B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【插图地址】assets/25.eq_eih_AX.png</w:t>
      </w:r>
    </w:p>
    <w:p w14:paraId="43DD66FC">
      <w:pPr>
        <w:spacing w:before="0" w:after="0" w:line="360" w:lineRule="auto"/>
        <w:jc w:val="center"/>
      </w:pPr>
      <w:r>
        <w:drawing>
          <wp:inline distT="0" distB="0" distL="114300" distR="114300">
            <wp:extent cx="2139315" cy="269875"/>
            <wp:effectExtent l="0" t="0" r="952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985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07E7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5D0AB06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部署时，把相机点变到基座：</w:t>
      </w:r>
    </w:p>
    <w:p w14:paraId="7152C560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995D3F6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【插图地址】assets/26.eq_eih_deploy.png</w:t>
      </w:r>
    </w:p>
    <w:p w14:paraId="7E994ECF">
      <w:pPr>
        <w:spacing w:before="0" w:after="0" w:line="360" w:lineRule="auto"/>
        <w:jc w:val="center"/>
      </w:pPr>
      <w:r>
        <w:drawing>
          <wp:inline distT="0" distB="0" distL="114300" distR="114300">
            <wp:extent cx="3317875" cy="269875"/>
            <wp:effectExtent l="0" t="0" r="444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826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AF2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E523A54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若夹爪相对法兰还有固定偏置</w:t>
      </w:r>
    </w:p>
    <w:p w14:paraId="002427E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A9BF28A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【插图地址】assets/27.inline_eeTgripper.png</w:t>
      </w:r>
    </w:p>
    <w:p w14:paraId="7FE4740B">
      <w:pPr>
        <w:spacing w:before="0" w:after="0" w:line="360" w:lineRule="auto"/>
        <w:jc w:val="center"/>
      </w:pPr>
      <w:r>
        <w:drawing>
          <wp:inline distT="0" distB="0" distL="114300" distR="114300">
            <wp:extent cx="711200" cy="269875"/>
            <wp:effectExtent l="0" t="0" r="508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1818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B8E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03898B3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再左乘或右乘该偏置即可。</w:t>
      </w:r>
    </w:p>
    <w:p w14:paraId="7C43CEB2">
      <w:pPr>
        <w:pStyle w:val="4"/>
      </w:pPr>
      <w:bookmarkStart w:id="9" w:name="_Toc13870"/>
      <w:r>
        <w:rPr>
          <w:rFonts w:ascii="微软雅黑" w:hAnsi="微软雅黑" w:eastAsia="微软雅黑"/>
          <w:b/>
          <w:i w:val="0"/>
          <w:sz w:val="32"/>
        </w:rPr>
        <w:t>3.4 Eye-to-Hand 的 A、B、X</w:t>
      </w:r>
      <w:bookmarkEnd w:id="9"/>
    </w:p>
    <w:p w14:paraId="4CC29823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令标定板刚性固连在末端，手–板外参近似不变：</w:t>
      </w:r>
    </w:p>
    <w:p w14:paraId="40C792D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CBA4DC5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【插图地址】assets/28.inline_eeTtgt.png</w:t>
      </w:r>
    </w:p>
    <w:p w14:paraId="62607485">
      <w:pPr>
        <w:spacing w:before="0" w:after="0" w:line="360" w:lineRule="auto"/>
        <w:jc w:val="center"/>
      </w:pPr>
      <w:r>
        <w:drawing>
          <wp:inline distT="0" distB="0" distL="114300" distR="114300">
            <wp:extent cx="474345" cy="269875"/>
            <wp:effectExtent l="0" t="0" r="1333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545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FC9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59DFED6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OpenCV 对 Eye-to-Hand 的常见约定是：</w:t>
      </w:r>
    </w:p>
    <w:p w14:paraId="31F1096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1A7BD77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【插图地址】assets/29.eq_eth_A.png</w:t>
      </w:r>
    </w:p>
    <w:p w14:paraId="1513A5CC">
      <w:pPr>
        <w:spacing w:before="0" w:after="0" w:line="360" w:lineRule="auto"/>
        <w:jc w:val="center"/>
      </w:pPr>
      <w:r>
        <w:drawing>
          <wp:inline distT="0" distB="0" distL="114300" distR="114300">
            <wp:extent cx="1533525" cy="269875"/>
            <wp:effectExtent l="0" t="0" r="571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33829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011C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E63CE2F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C7C3BCD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【插图地址】assets/30.eq_eth_B.png</w:t>
      </w:r>
    </w:p>
    <w:p w14:paraId="6873BB0D">
      <w:pPr>
        <w:spacing w:before="0" w:after="0" w:line="360" w:lineRule="auto"/>
        <w:jc w:val="center"/>
      </w:pPr>
      <w:r>
        <w:drawing>
          <wp:inline distT="0" distB="0" distL="114300" distR="114300">
            <wp:extent cx="1818640" cy="269875"/>
            <wp:effectExtent l="0" t="0" r="1016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9124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948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52FDBA4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6A45D3D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【插图地址】assets/31.eq_eth_AX.png</w:t>
      </w:r>
    </w:p>
    <w:p w14:paraId="69C8265A">
      <w:pPr>
        <w:spacing w:before="0" w:after="0" w:line="360" w:lineRule="auto"/>
        <w:jc w:val="center"/>
      </w:pPr>
      <w:r>
        <w:drawing>
          <wp:inline distT="0" distB="0" distL="114300" distR="114300">
            <wp:extent cx="2066925" cy="269875"/>
            <wp:effectExtent l="0" t="0" r="571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7534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F33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06FB9B3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部分文献先求手–板外参 X，再对某一帧合成：</w:t>
      </w:r>
    </w:p>
    <w:p w14:paraId="262EA319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D8BB96F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【插图地址】assets/32.eq_eth_compose.png</w:t>
      </w:r>
    </w:p>
    <w:p w14:paraId="42048733">
      <w:pPr>
        <w:spacing w:before="0" w:after="0" w:line="360" w:lineRule="auto"/>
        <w:jc w:val="center"/>
      </w:pPr>
      <w:r>
        <w:drawing>
          <wp:inline distT="0" distB="0" distL="114300" distR="114300">
            <wp:extent cx="2254250" cy="269875"/>
            <wp:effectExtent l="0" t="0" r="127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45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D159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EF0E0FD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两种写法目标一致：得到场景相机相对基座的外参。实现时以所用库文档的输入约定为准，不要混用 A / B 的求逆顺序。</w:t>
      </w:r>
    </w:p>
    <w:p w14:paraId="0FD8CD15">
      <w:pPr>
        <w:pStyle w:val="4"/>
      </w:pPr>
      <w:bookmarkStart w:id="10" w:name="_Toc3471"/>
      <w:r>
        <w:rPr>
          <w:rFonts w:ascii="微软雅黑" w:hAnsi="微软雅黑" w:eastAsia="微软雅黑"/>
          <w:b/>
          <w:i w:val="0"/>
          <w:sz w:val="32"/>
        </w:rPr>
        <w:t>3.5 旋转–平移分解（理解求解时有用）</w:t>
      </w:r>
      <w:bookmarkEnd w:id="10"/>
    </w:p>
    <w:p w14:paraId="4FFF3D96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把 AX=XB 写成旋转与平移两部分：</w:t>
      </w:r>
    </w:p>
    <w:p w14:paraId="260CF9D0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527BFDE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【插图地址】assets/33.eq_rot.png</w:t>
      </w:r>
    </w:p>
    <w:p w14:paraId="0F0542D3">
      <w:pPr>
        <w:spacing w:before="0" w:after="0" w:line="360" w:lineRule="auto"/>
        <w:jc w:val="center"/>
      </w:pPr>
      <w:r>
        <w:drawing>
          <wp:inline distT="0" distB="0" distL="114300" distR="114300">
            <wp:extent cx="1381125" cy="269875"/>
            <wp:effectExtent l="0" t="0" r="5715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815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F62F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AA1202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94911C3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【插图地址】assets/34.eq_trans.png</w:t>
      </w:r>
    </w:p>
    <w:p w14:paraId="60983EC0">
      <w:pPr>
        <w:spacing w:before="0" w:after="0" w:line="360" w:lineRule="auto"/>
        <w:jc w:val="center"/>
      </w:pPr>
      <w:r>
        <w:drawing>
          <wp:inline distT="0" distB="0" distL="114300" distR="114300">
            <wp:extent cx="2047240" cy="269875"/>
            <wp:effectExtent l="0" t="0" r="1016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475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25A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24F0A4D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经典可分离方法（Tsai–Lenz 等）：先由旋转方程求 Rx，再代入平移方程求 tx。同时求解或迭代法（对偶四元数、非线性最小二乘）可减轻旋转误差向平移的传递。OpenCV 提供多种方法，例如：</w:t>
      </w:r>
    </w:p>
    <w:p w14:paraId="62D0B842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CALIB_HAND_EYE_TSAI</w:t>
      </w:r>
    </w:p>
    <w:p w14:paraId="28415C6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CALIB_HAND_EYE_PARK</w:t>
      </w:r>
    </w:p>
    <w:p w14:paraId="4BB8BC1C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CALIB_HAND_EYE_HORAUD</w:t>
      </w:r>
    </w:p>
    <w:p w14:paraId="01C12B2A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CALIB_HAND_EYE_ANDREFF</w:t>
      </w:r>
    </w:p>
    <w:p w14:paraId="4BDC277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CALIB_HAND_EYE_DANIILIDIS</w:t>
      </w:r>
    </w:p>
    <w:p w14:paraId="448B8769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实践建议：同一数据集试 2–3 种方法，用验证位姿的重投影/闭环误差择优。</w:t>
      </w:r>
    </w:p>
    <w:p w14:paraId="1F067028">
      <w:pPr>
        <w:pStyle w:val="4"/>
      </w:pPr>
      <w:bookmarkStart w:id="11" w:name="_Toc22542"/>
      <w:r>
        <w:rPr>
          <w:rFonts w:ascii="微软雅黑" w:hAnsi="微软雅黑" w:eastAsia="微软雅黑"/>
          <w:b/>
          <w:i w:val="0"/>
          <w:sz w:val="32"/>
        </w:rPr>
        <w:t>3.6 误差与可辨识性要点</w:t>
      </w:r>
      <w:bookmarkEnd w:id="11"/>
    </w:p>
    <w:p w14:paraId="5FA04A5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内参先准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：手眼外参建立在相机内参与畸变模型之上；RealSense 可用厂内参或 </w:t>
      </w:r>
      <w:r>
        <w:rPr>
          <w:rFonts w:ascii="Consolas" w:hAnsi="Consolas" w:eastAsia="微软雅黑"/>
          <w:b w:val="0"/>
          <w:i w:val="0"/>
          <w:sz w:val="21"/>
        </w:rPr>
        <w:t>rs-sensor-control</w:t>
      </w:r>
      <w:r>
        <w:rPr>
          <w:rFonts w:ascii="微软雅黑" w:hAnsi="微软雅黑" w:eastAsia="微软雅黑"/>
          <w:b w:val="0"/>
          <w:i w:val="0"/>
          <w:sz w:val="24"/>
        </w:rPr>
        <w:t xml:space="preserve"> / 自标定结果。</w:t>
      </w:r>
    </w:p>
    <w:p w14:paraId="58ABA33F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时间同步</w:t>
      </w:r>
      <w:r>
        <w:rPr>
          <w:rFonts w:ascii="微软雅黑" w:hAnsi="微软雅黑" w:eastAsia="微软雅黑"/>
          <w:b w:val="0"/>
          <w:i w:val="0"/>
          <w:sz w:val="24"/>
        </w:rPr>
        <w:t>：记录末端位姿与图像时间戳应对齐，避免运动中曝光造成的位姿错配。</w:t>
      </w:r>
    </w:p>
    <w:p w14:paraId="6DAAD39A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激励充分</w:t>
      </w:r>
      <w:r>
        <w:rPr>
          <w:rFonts w:ascii="微软雅黑" w:hAnsi="微软雅黑" w:eastAsia="微软雅黑"/>
          <w:b w:val="0"/>
          <w:i w:val="0"/>
          <w:sz w:val="24"/>
        </w:rPr>
        <w:t>：至少绕两个近似正交轴转动；仅平移或仅绕平行轴转会导致 X 退化。</w:t>
      </w:r>
    </w:p>
    <w:p w14:paraId="17F9E84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4. </w:t>
      </w:r>
      <w:r>
        <w:rPr>
          <w:rFonts w:ascii="微软雅黑" w:hAnsi="微软雅黑" w:eastAsia="微软雅黑"/>
          <w:b/>
          <w:i w:val="0"/>
          <w:sz w:val="24"/>
        </w:rPr>
        <w:t>标定板质量</w:t>
      </w:r>
      <w:r>
        <w:rPr>
          <w:rFonts w:ascii="微软雅黑" w:hAnsi="微软雅黑" w:eastAsia="微软雅黑"/>
          <w:b w:val="0"/>
          <w:i w:val="0"/>
          <w:sz w:val="24"/>
        </w:rPr>
        <w:t>：角点清晰、平面度好；ChArUco 在部分遮挡下更稳。</w:t>
      </w:r>
    </w:p>
    <w:p w14:paraId="75D70E3B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5. </w:t>
      </w:r>
      <w:r>
        <w:rPr>
          <w:rFonts w:ascii="微软雅黑" w:hAnsi="微软雅黑" w:eastAsia="微软雅黑"/>
          <w:b/>
          <w:i w:val="0"/>
          <w:sz w:val="24"/>
        </w:rPr>
        <w:t>验证</w:t>
      </w:r>
      <w:r>
        <w:rPr>
          <w:rFonts w:ascii="微软雅黑" w:hAnsi="微软雅黑" w:eastAsia="微软雅黑"/>
          <w:b w:val="0"/>
          <w:i w:val="0"/>
          <w:sz w:val="24"/>
        </w:rPr>
        <w:t>：留出未参与求解的位姿，比较标定板在基座系下由机器人链与视觉链算出的差异（毫米级/亚毫米级视系统精度而定）：</w:t>
      </w:r>
    </w:p>
    <w:p w14:paraId="52E3BE8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3758747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【插图地址】assets/35.inline_baseTtgt.png</w:t>
      </w:r>
    </w:p>
    <w:p w14:paraId="2778EFC5">
      <w:pPr>
        <w:spacing w:before="0" w:after="0" w:line="360" w:lineRule="auto"/>
        <w:jc w:val="center"/>
      </w:pPr>
      <w:r>
        <w:drawing>
          <wp:inline distT="0" distB="0" distL="114300" distR="114300">
            <wp:extent cx="532130" cy="269875"/>
            <wp:effectExtent l="0" t="0" r="127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602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5662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FE9D1F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45AE5765">
      <w:pPr>
        <w:pStyle w:val="3"/>
      </w:pPr>
      <w:bookmarkStart w:id="12" w:name="_Toc10457"/>
      <w:r>
        <w:rPr>
          <w:rFonts w:ascii="微软雅黑" w:hAnsi="微软雅黑" w:eastAsia="微软雅黑"/>
          <w:b/>
          <w:i w:val="0"/>
          <w:sz w:val="36"/>
        </w:rPr>
        <w:t>4. 以 RealSense 为例：作用、物料与步骤</w:t>
      </w:r>
      <w:bookmarkEnd w:id="12"/>
    </w:p>
    <w:p w14:paraId="04FC74E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0EC5DF7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【插图地址】assets/36.realsense_dual_setup.png</w:t>
      </w:r>
    </w:p>
    <w:p w14:paraId="3A07E962">
      <w:pPr>
        <w:spacing w:before="0" w:after="0" w:line="360" w:lineRule="auto"/>
        <w:jc w:val="center"/>
      </w:pPr>
      <w:r>
        <w:drawing>
          <wp:inline distT="0" distB="0" distL="114300" distR="114300">
            <wp:extent cx="3811270" cy="2159635"/>
            <wp:effectExtent l="0" t="0" r="1397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176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B2B8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图：腕部相机（Eye-in-Hand）与场景相机（Eye-to-Hand）同时部署的示意。</w:t>
      </w:r>
    </w:p>
    <w:p w14:paraId="73E5391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B3F301E">
      <w:pPr>
        <w:pStyle w:val="4"/>
      </w:pPr>
      <w:bookmarkStart w:id="13" w:name="_Toc32529"/>
      <w:r>
        <w:rPr>
          <w:rFonts w:ascii="微软雅黑" w:hAnsi="微软雅黑" w:eastAsia="微软雅黑"/>
          <w:b/>
          <w:i w:val="0"/>
          <w:sz w:val="32"/>
        </w:rPr>
        <w:t>4.1 标定的作用（为什么必须做）</w:t>
      </w:r>
      <w:bookmarkEnd w:id="13"/>
    </w:p>
    <w:p w14:paraId="3D70496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6441A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6A5AA6F0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相机角色</w:t>
            </w:r>
          </w:p>
        </w:tc>
        <w:tc>
          <w:tcPr>
            <w:tcW w:w="3600" w:type="dxa"/>
            <w:shd w:val="clear" w:color="auto" w:fill="D9E2F3"/>
          </w:tcPr>
          <w:p w14:paraId="5BDE9083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配置</w:t>
            </w:r>
          </w:p>
        </w:tc>
        <w:tc>
          <w:tcPr>
            <w:tcW w:w="3600" w:type="dxa"/>
            <w:shd w:val="clear" w:color="auto" w:fill="D9E2F3"/>
          </w:tcPr>
          <w:p w14:paraId="2D984DF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标定后能做什么</w:t>
            </w:r>
          </w:p>
        </w:tc>
      </w:tr>
      <w:tr w14:paraId="2E14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B27618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 RealSense</w:t>
            </w:r>
          </w:p>
        </w:tc>
        <w:tc>
          <w:tcPr>
            <w:tcW w:w="3600" w:type="dxa"/>
          </w:tcPr>
          <w:p w14:paraId="492D831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Eye-in-Hand</w:t>
            </w:r>
          </w:p>
        </w:tc>
        <w:tc>
          <w:tcPr>
            <w:tcW w:w="3600" w:type="dxa"/>
          </w:tcPr>
          <w:p w14:paraId="2BEA23D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把深度/点云从相机系变到法兰/基座，做精定位抓取、贴合、插装</w:t>
            </w:r>
          </w:p>
        </w:tc>
      </w:tr>
      <w:tr w14:paraId="34CC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7704DF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 RealSense</w:t>
            </w:r>
          </w:p>
        </w:tc>
        <w:tc>
          <w:tcPr>
            <w:tcW w:w="3600" w:type="dxa"/>
          </w:tcPr>
          <w:p w14:paraId="1053DB0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Eye-to-Hand</w:t>
            </w:r>
          </w:p>
        </w:tc>
        <w:tc>
          <w:tcPr>
            <w:tcW w:w="3600" w:type="dxa"/>
          </w:tcPr>
          <w:p w14:paraId="2324D2C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在基座系下报告物体粗位姿，供运动规划、碰撞监测、任务调度</w:t>
            </w:r>
          </w:p>
        </w:tc>
      </w:tr>
      <w:tr w14:paraId="1BC8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91936C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双机协同</w:t>
            </w:r>
          </w:p>
        </w:tc>
        <w:tc>
          <w:tcPr>
            <w:tcW w:w="3600" w:type="dxa"/>
          </w:tcPr>
          <w:p w14:paraId="2BD2FAE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两者都标定</w:t>
            </w:r>
          </w:p>
        </w:tc>
        <w:tc>
          <w:tcPr>
            <w:tcW w:w="3600" w:type="dxa"/>
          </w:tcPr>
          <w:p w14:paraId="1B52D5B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场景粗定位 → 腕部精对准；两相机点云可变换到同一基座系融合</w:t>
            </w:r>
          </w:p>
        </w:tc>
      </w:tr>
    </w:tbl>
    <w:p w14:paraId="33AA5648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31AFA7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没有可靠手眼外参时，常见现象是：“画面里对准了，手臂却偏了几厘米”——那是坐标系没对齐，不是单纯检测算法问题。</w:t>
      </w:r>
    </w:p>
    <w:p w14:paraId="2E0DD76D">
      <w:pPr>
        <w:pStyle w:val="4"/>
      </w:pPr>
      <w:bookmarkStart w:id="14" w:name="_Toc22094"/>
      <w:r>
        <w:rPr>
          <w:rFonts w:ascii="微软雅黑" w:hAnsi="微软雅黑" w:eastAsia="微软雅黑"/>
          <w:b/>
          <w:i w:val="0"/>
          <w:sz w:val="32"/>
        </w:rPr>
        <w:t>4.2 物料清单（BOM）</w:t>
      </w:r>
      <w:bookmarkEnd w:id="14"/>
    </w:p>
    <w:p w14:paraId="0D551CE9">
      <w:pPr>
        <w:pStyle w:val="5"/>
      </w:pPr>
      <w:bookmarkStart w:id="15" w:name="_Toc26586"/>
      <w:r>
        <w:rPr>
          <w:rFonts w:ascii="微软雅黑" w:hAnsi="微软雅黑" w:eastAsia="微软雅黑"/>
          <w:b/>
          <w:i w:val="0"/>
          <w:sz w:val="28"/>
        </w:rPr>
        <w:t>通用物料</w:t>
      </w:r>
      <w:bookmarkEnd w:id="15"/>
    </w:p>
    <w:p w14:paraId="4BEEBE16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1C2C2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078B3BA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类别</w:t>
            </w:r>
          </w:p>
        </w:tc>
        <w:tc>
          <w:tcPr>
            <w:tcW w:w="3600" w:type="dxa"/>
            <w:shd w:val="clear" w:color="auto" w:fill="D9E2F3"/>
          </w:tcPr>
          <w:p w14:paraId="0BEE603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建议规格</w:t>
            </w:r>
          </w:p>
        </w:tc>
        <w:tc>
          <w:tcPr>
            <w:tcW w:w="3600" w:type="dxa"/>
            <w:shd w:val="clear" w:color="auto" w:fill="D9E2F3"/>
          </w:tcPr>
          <w:p w14:paraId="52C4055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备注</w:t>
            </w:r>
          </w:p>
        </w:tc>
      </w:tr>
      <w:tr w14:paraId="7A65C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88F024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机械臂</w:t>
            </w:r>
          </w:p>
        </w:tc>
        <w:tc>
          <w:tcPr>
            <w:tcW w:w="3600" w:type="dxa"/>
          </w:tcPr>
          <w:p w14:paraId="3665556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6 轴协作臂或工业臂</w:t>
            </w:r>
          </w:p>
        </w:tc>
        <w:tc>
          <w:tcPr>
            <w:tcW w:w="3600" w:type="dxa"/>
          </w:tcPr>
          <w:p w14:paraId="55B7B98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能稳定读出法兰/工具位姿</w:t>
            </w:r>
          </w:p>
        </w:tc>
      </w:tr>
      <w:tr w14:paraId="30F3E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7001402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标定板</w:t>
            </w:r>
          </w:p>
        </w:tc>
        <w:tc>
          <w:tcPr>
            <w:tcW w:w="3600" w:type="dxa"/>
          </w:tcPr>
          <w:p w14:paraId="0C82366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棋盘格或 ChArUco（亚克力/铝板）</w:t>
            </w:r>
          </w:p>
        </w:tc>
        <w:tc>
          <w:tcPr>
            <w:tcW w:w="3600" w:type="dxa"/>
          </w:tcPr>
          <w:p w14:paraId="3E114B6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打印后贴平；注明格宽（mm）</w:t>
            </w:r>
          </w:p>
        </w:tc>
      </w:tr>
      <w:tr w14:paraId="5942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142E62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支架与快换</w:t>
            </w:r>
          </w:p>
        </w:tc>
        <w:tc>
          <w:tcPr>
            <w:tcW w:w="3600" w:type="dxa"/>
          </w:tcPr>
          <w:p w14:paraId="44B64B7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相机支架、法兰转接板</w:t>
            </w:r>
          </w:p>
        </w:tc>
        <w:tc>
          <w:tcPr>
            <w:tcW w:w="3600" w:type="dxa"/>
          </w:tcPr>
          <w:p w14:paraId="2B52DAA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标定后勿再松动</w:t>
            </w:r>
          </w:p>
        </w:tc>
      </w:tr>
      <w:tr w14:paraId="6482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5B6E58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工控机</w:t>
            </w:r>
          </w:p>
        </w:tc>
        <w:tc>
          <w:tcPr>
            <w:tcW w:w="3600" w:type="dxa"/>
          </w:tcPr>
          <w:p w14:paraId="73BB642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USB3 主机 + 机器人网口/总线</w:t>
            </w:r>
          </w:p>
        </w:tc>
        <w:tc>
          <w:tcPr>
            <w:tcW w:w="3600" w:type="dxa"/>
          </w:tcPr>
          <w:p w14:paraId="25585CA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需稳定 USB3</w:t>
            </w:r>
          </w:p>
        </w:tc>
      </w:tr>
      <w:tr w14:paraId="7849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646D57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软件</w:t>
            </w:r>
          </w:p>
        </w:tc>
        <w:tc>
          <w:tcPr>
            <w:tcW w:w="3600" w:type="dxa"/>
          </w:tcPr>
          <w:p w14:paraId="321A9C2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librealsense、OpenCV、机器人 SDK</w:t>
            </w:r>
          </w:p>
        </w:tc>
        <w:tc>
          <w:tcPr>
            <w:tcW w:w="3600" w:type="dxa"/>
          </w:tcPr>
          <w:p w14:paraId="1B91FB3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Python/C++ 均可</w:t>
            </w:r>
          </w:p>
        </w:tc>
      </w:tr>
      <w:tr w14:paraId="02FE0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42899B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辅材</w:t>
            </w:r>
          </w:p>
        </w:tc>
        <w:tc>
          <w:tcPr>
            <w:tcW w:w="3600" w:type="dxa"/>
          </w:tcPr>
          <w:p w14:paraId="50D8981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螺丝胶、遮光罩、标定板压条</w:t>
            </w:r>
          </w:p>
        </w:tc>
        <w:tc>
          <w:tcPr>
            <w:tcW w:w="3600" w:type="dxa"/>
          </w:tcPr>
          <w:p w14:paraId="1B912BA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减少微动与反光</w:t>
            </w:r>
          </w:p>
        </w:tc>
      </w:tr>
    </w:tbl>
    <w:p w14:paraId="7313D0D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A6D9CB6">
      <w:pPr>
        <w:pStyle w:val="5"/>
      </w:pPr>
      <w:bookmarkStart w:id="16" w:name="_Toc16031"/>
      <w:r>
        <w:rPr>
          <w:rFonts w:ascii="微软雅黑" w:hAnsi="微软雅黑" w:eastAsia="微软雅黑"/>
          <w:b/>
          <w:i w:val="0"/>
          <w:sz w:val="28"/>
        </w:rPr>
        <w:t>Eye-in-Hand（腕部相机）专项</w:t>
      </w:r>
      <w:bookmarkEnd w:id="16"/>
    </w:p>
    <w:p w14:paraId="26AAAAFF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5D6A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296A7AC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物料</w:t>
            </w:r>
          </w:p>
        </w:tc>
        <w:tc>
          <w:tcPr>
            <w:tcW w:w="3600" w:type="dxa"/>
            <w:shd w:val="clear" w:color="auto" w:fill="D9E2F3"/>
          </w:tcPr>
          <w:p w14:paraId="0B467D4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示例</w:t>
            </w:r>
          </w:p>
        </w:tc>
        <w:tc>
          <w:tcPr>
            <w:tcW w:w="3600" w:type="dxa"/>
            <w:shd w:val="clear" w:color="auto" w:fill="D9E2F3"/>
          </w:tcPr>
          <w:p w14:paraId="1150F6FF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6DEC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923805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腕部深度相机</w:t>
            </w:r>
          </w:p>
        </w:tc>
        <w:tc>
          <w:tcPr>
            <w:tcW w:w="3600" w:type="dxa"/>
          </w:tcPr>
          <w:p w14:paraId="5E8B0F8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D405（近距）或 D435</w:t>
            </w:r>
          </w:p>
        </w:tc>
        <w:tc>
          <w:tcPr>
            <w:tcW w:w="3600" w:type="dxa"/>
          </w:tcPr>
          <w:p w14:paraId="2F85940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D405 适合短距精细作业</w:t>
            </w:r>
          </w:p>
        </w:tc>
      </w:tr>
      <w:tr w14:paraId="54A8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29E5A8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腕部安装件</w:t>
            </w:r>
          </w:p>
        </w:tc>
        <w:tc>
          <w:tcPr>
            <w:tcW w:w="3600" w:type="dxa"/>
          </w:tcPr>
          <w:p w14:paraId="6541E67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法兰→相机支架</w:t>
            </w:r>
          </w:p>
        </w:tc>
        <w:tc>
          <w:tcPr>
            <w:tcW w:w="3600" w:type="dxa"/>
          </w:tcPr>
          <w:p w14:paraId="070F3CF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视线尽量不被夹爪遮挡</w:t>
            </w:r>
          </w:p>
        </w:tc>
      </w:tr>
      <w:tr w14:paraId="5934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8AD452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固定标定板</w:t>
            </w:r>
          </w:p>
        </w:tc>
        <w:tc>
          <w:tcPr>
            <w:tcW w:w="3600" w:type="dxa"/>
          </w:tcPr>
          <w:p w14:paraId="6EE26FD0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桌面吸附/螺钉固定</w:t>
            </w:r>
          </w:p>
        </w:tc>
        <w:tc>
          <w:tcPr>
            <w:tcW w:w="3600" w:type="dxa"/>
          </w:tcPr>
          <w:p w14:paraId="0B04F15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标定全程相对基座不动</w:t>
            </w:r>
          </w:p>
        </w:tc>
      </w:tr>
    </w:tbl>
    <w:p w14:paraId="054E13B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86B4A94">
      <w:pPr>
        <w:pStyle w:val="5"/>
      </w:pPr>
      <w:bookmarkStart w:id="17" w:name="_Toc25734"/>
      <w:r>
        <w:rPr>
          <w:rFonts w:ascii="微软雅黑" w:hAnsi="微软雅黑" w:eastAsia="微软雅黑"/>
          <w:b/>
          <w:i w:val="0"/>
          <w:sz w:val="28"/>
        </w:rPr>
        <w:t>Eye-to-Hand（场景相机）专项</w:t>
      </w:r>
      <w:bookmarkEnd w:id="17"/>
    </w:p>
    <w:p w14:paraId="7A43BE72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0B6FF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056ED1B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物料</w:t>
            </w:r>
          </w:p>
        </w:tc>
        <w:tc>
          <w:tcPr>
            <w:tcW w:w="3600" w:type="dxa"/>
            <w:shd w:val="clear" w:color="auto" w:fill="D9E2F3"/>
          </w:tcPr>
          <w:p w14:paraId="521F9B6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示例</w:t>
            </w:r>
          </w:p>
        </w:tc>
        <w:tc>
          <w:tcPr>
            <w:tcW w:w="3600" w:type="dxa"/>
            <w:shd w:val="clear" w:color="auto" w:fill="D9E2F3"/>
          </w:tcPr>
          <w:p w14:paraId="40B3645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193F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C13492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场景深度相机</w:t>
            </w:r>
          </w:p>
        </w:tc>
        <w:tc>
          <w:tcPr>
            <w:tcW w:w="3600" w:type="dxa"/>
          </w:tcPr>
          <w:p w14:paraId="7900BCDF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D435 / D455</w:t>
            </w:r>
          </w:p>
        </w:tc>
        <w:tc>
          <w:tcPr>
            <w:tcW w:w="3600" w:type="dxa"/>
          </w:tcPr>
          <w:p w14:paraId="30BBF67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视场覆盖工作空间</w:t>
            </w:r>
          </w:p>
        </w:tc>
      </w:tr>
      <w:tr w14:paraId="14CF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8CA84E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落地/龙门支架</w:t>
            </w:r>
          </w:p>
        </w:tc>
        <w:tc>
          <w:tcPr>
            <w:tcW w:w="3600" w:type="dxa"/>
          </w:tcPr>
          <w:p w14:paraId="56876CC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高度与倾角可调</w:t>
            </w:r>
          </w:p>
        </w:tc>
        <w:tc>
          <w:tcPr>
            <w:tcW w:w="3600" w:type="dxa"/>
          </w:tcPr>
          <w:p w14:paraId="3AC1A39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标定后锁定</w:t>
            </w:r>
          </w:p>
        </w:tc>
      </w:tr>
      <w:tr w14:paraId="32CD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C8C879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末端标定板</w:t>
            </w:r>
          </w:p>
        </w:tc>
        <w:tc>
          <w:tcPr>
            <w:tcW w:w="3600" w:type="dxa"/>
          </w:tcPr>
          <w:p w14:paraId="5F41453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轻质板固定在法兰或夹爪</w:t>
            </w:r>
          </w:p>
        </w:tc>
        <w:tc>
          <w:tcPr>
            <w:tcW w:w="3600" w:type="dxa"/>
          </w:tcPr>
          <w:p w14:paraId="10A53BAF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板法向尽量朝向场景相机</w:t>
            </w:r>
          </w:p>
        </w:tc>
      </w:tr>
    </w:tbl>
    <w:p w14:paraId="5981621D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8781B8F">
      <w:pPr>
        <w:pStyle w:val="4"/>
      </w:pPr>
      <w:bookmarkStart w:id="18" w:name="_Toc20189"/>
      <w:r>
        <w:rPr>
          <w:rFonts w:ascii="微软雅黑" w:hAnsi="微软雅黑" w:eastAsia="微软雅黑"/>
          <w:b/>
          <w:i w:val="0"/>
          <w:sz w:val="32"/>
        </w:rPr>
        <w:t>4.3 操作步骤总览</w:t>
      </w:r>
      <w:bookmarkEnd w:id="18"/>
    </w:p>
    <w:p w14:paraId="342E69D3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D24ED54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【插图地址】assets/37.calib_flow.png</w:t>
      </w:r>
    </w:p>
    <w:p w14:paraId="147AA734">
      <w:pPr>
        <w:spacing w:before="0" w:after="0" w:line="360" w:lineRule="auto"/>
        <w:jc w:val="center"/>
      </w:pPr>
      <w:r>
        <w:drawing>
          <wp:inline distT="0" distB="0" distL="114300" distR="114300">
            <wp:extent cx="6140450" cy="269875"/>
            <wp:effectExtent l="0" t="0" r="127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0571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0AA3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图：从准备到部署的手眼标定主流程。</w:t>
      </w:r>
    </w:p>
    <w:p w14:paraId="783F5D54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3B513F1">
      <w:pPr>
        <w:pStyle w:val="5"/>
      </w:pPr>
      <w:bookmarkStart w:id="19" w:name="_Toc11174"/>
      <w:r>
        <w:rPr>
          <w:rFonts w:ascii="微软雅黑" w:hAnsi="微软雅黑" w:eastAsia="微软雅黑"/>
          <w:b/>
          <w:i w:val="0"/>
          <w:sz w:val="28"/>
        </w:rPr>
        <w:t>步骤 A：共同准备</w:t>
      </w:r>
      <w:bookmarkEnd w:id="19"/>
    </w:p>
    <w:p w14:paraId="29FB29CF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安装刚性化</w:t>
      </w:r>
      <w:r>
        <w:rPr>
          <w:rFonts w:ascii="微软雅黑" w:hAnsi="微软雅黑" w:eastAsia="微软雅黑"/>
          <w:b w:val="0"/>
          <w:i w:val="0"/>
          <w:sz w:val="24"/>
        </w:rPr>
        <w:t>：拧紧相机支架；腕部线缆留足够活动余量，避免运动拉扯改变外参。</w:t>
      </w:r>
    </w:p>
    <w:p w14:paraId="20AD27FE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相机内参</w:t>
      </w:r>
      <w:r>
        <w:rPr>
          <w:rFonts w:ascii="微软雅黑" w:hAnsi="微软雅黑" w:eastAsia="微软雅黑"/>
          <w:b w:val="0"/>
          <w:i w:val="0"/>
          <w:sz w:val="24"/>
        </w:rPr>
        <w:t>：用 RealSense Viewer 确认流稳定；记录串号、分辨率、深度单元；必要时做板内参标定。</w:t>
      </w:r>
    </w:p>
    <w:p w14:paraId="578581A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标定板参数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：实测方格边长（不要只用打印设定值）；OpenCV 中 </w:t>
      </w:r>
      <w:r>
        <w:rPr>
          <w:rFonts w:ascii="Consolas" w:hAnsi="Consolas" w:eastAsia="微软雅黑"/>
          <w:b w:val="0"/>
          <w:i w:val="0"/>
          <w:sz w:val="21"/>
        </w:rPr>
        <w:t>squareLength</w:t>
      </w:r>
      <w:r>
        <w:rPr>
          <w:rFonts w:ascii="微软雅黑" w:hAnsi="微软雅黑" w:eastAsia="微软雅黑"/>
          <w:b w:val="0"/>
          <w:i w:val="0"/>
          <w:sz w:val="24"/>
        </w:rPr>
        <w:t xml:space="preserve"> 等单位与机器人一致（通常米或毫米统一）。</w:t>
      </w:r>
    </w:p>
    <w:p w14:paraId="61741B07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4. </w:t>
      </w:r>
      <w:r>
        <w:rPr>
          <w:rFonts w:ascii="微软雅黑" w:hAnsi="微软雅黑" w:eastAsia="微软雅黑"/>
          <w:b/>
          <w:i w:val="0"/>
          <w:sz w:val="24"/>
        </w:rPr>
        <w:t>安全</w:t>
      </w:r>
      <w:r>
        <w:rPr>
          <w:rFonts w:ascii="微软雅黑" w:hAnsi="微软雅黑" w:eastAsia="微软雅黑"/>
          <w:b w:val="0"/>
          <w:i w:val="0"/>
          <w:sz w:val="24"/>
        </w:rPr>
        <w:t>：示教限速；场景相机支架远离臂工作包络碰撞区。</w:t>
      </w:r>
    </w:p>
    <w:p w14:paraId="6320E659">
      <w:pPr>
        <w:pStyle w:val="5"/>
      </w:pPr>
      <w:bookmarkStart w:id="20" w:name="_Toc29200"/>
      <w:r>
        <w:rPr>
          <w:rFonts w:ascii="微软雅黑" w:hAnsi="微软雅黑" w:eastAsia="微软雅黑"/>
          <w:b/>
          <w:i w:val="0"/>
          <w:sz w:val="28"/>
        </w:rPr>
        <w:t>步骤 B：Eye-in-Hand（腕部 RealSense）采集与求解</w:t>
      </w:r>
      <w:bookmarkEnd w:id="20"/>
    </w:p>
    <w:p w14:paraId="37F0AFF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1. 将标定板固定在工作台，腕部相机对准板面。</w:t>
      </w:r>
    </w:p>
    <w:p w14:paraId="6B73CF2F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2. 示教约 15–30 个位姿：改变距离、俯仰、偏航；保证板在彩色/红外图中完整清晰。</w:t>
      </w:r>
    </w:p>
    <w:p w14:paraId="4FD9811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3. 每个位姿记录：</w:t>
      </w:r>
    </w:p>
    <w:p w14:paraId="1D71A7EA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末端相对基座位姿（或关节角由 FK 算出）</w:t>
      </w:r>
    </w:p>
    <w:p w14:paraId="181920A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图像 → 解算标定板相对相机位姿</w:t>
      </w:r>
    </w:p>
    <w:p w14:paraId="4AE0A44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4. 用相邻或全组合构造 (Ak, Bk)，调用例如 OpenCV：</w:t>
      </w:r>
    </w:p>
    <w:p w14:paraId="7DDC8A97">
      <w:pPr>
        <w:shd w:val="clear" w:fill="000000"/>
        <w:spacing w:before="18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# 示意：R_gripper2base, t_gripper2base, R_target2cam, t_target2cam 为列表</w:t>
      </w:r>
    </w:p>
    <w:p w14:paraId="7270450F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R_cam2gripper, t_cam2gripper = cv2.calibrateHandEye(</w:t>
      </w:r>
    </w:p>
    <w:p w14:paraId="62241361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 xml:space="preserve">    R_gripper2base, t_gripper2base,</w:t>
      </w:r>
    </w:p>
    <w:p w14:paraId="21877AC3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 xml:space="preserve">    R_target2cam, t_target2cam,</w:t>
      </w:r>
    </w:p>
    <w:p w14:paraId="17237346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 xml:space="preserve">    method=cv2.CALIB_HAND_EYE_TSAI,</w:t>
      </w:r>
    </w:p>
    <w:p w14:paraId="0BF18E18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)</w:t>
      </w:r>
    </w:p>
    <w:p w14:paraId="1ED1ED23">
      <w:pPr>
        <w:shd w:val="clear" w:fill="000000"/>
        <w:spacing w:before="0" w:after="18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# 得到 X = T_cam^ee（注意 OpenCV 命名 gripper≈ee）</w:t>
      </w:r>
    </w:p>
    <w:p w14:paraId="1F206488">
      <w:pPr>
        <w:spacing w:before="0" w:after="120" w:line="360" w:lineRule="auto"/>
      </w:pPr>
    </w:p>
    <w:p w14:paraId="16C5782E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5. </w:t>
      </w:r>
      <w:r>
        <w:rPr>
          <w:rFonts w:ascii="微软雅黑" w:hAnsi="微软雅黑" w:eastAsia="微软雅黑"/>
          <w:b/>
          <w:i w:val="0"/>
          <w:sz w:val="24"/>
        </w:rPr>
        <w:t>验证</w:t>
      </w:r>
      <w:r>
        <w:rPr>
          <w:rFonts w:ascii="微软雅黑" w:hAnsi="微软雅黑" w:eastAsia="微软雅黑"/>
          <w:b w:val="0"/>
          <w:i w:val="0"/>
          <w:sz w:val="24"/>
        </w:rPr>
        <w:t>：新到位姿，比较“FK + X + 视觉”得到的板在基座系位置与几何真值/多次平均的偏差。</w:t>
      </w:r>
    </w:p>
    <w:p w14:paraId="2F7FDB5D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6. </w:t>
      </w:r>
      <w:r>
        <w:rPr>
          <w:rFonts w:ascii="微软雅黑" w:hAnsi="微软雅黑" w:eastAsia="微软雅黑"/>
          <w:b/>
          <w:i w:val="0"/>
          <w:sz w:val="24"/>
        </w:rPr>
        <w:t>固化</w:t>
      </w:r>
      <w:r>
        <w:rPr>
          <w:rFonts w:ascii="微软雅黑" w:hAnsi="微软雅黑" w:eastAsia="微软雅黑"/>
          <w:b w:val="0"/>
          <w:i w:val="0"/>
          <w:sz w:val="24"/>
        </w:rPr>
        <w:t>：保存 X 与采集元数据（分辨率、板尺寸、方法名、时间）；支架打胶或标记，防止漂移。</w:t>
      </w:r>
    </w:p>
    <w:p w14:paraId="73545DD2">
      <w:pPr>
        <w:pStyle w:val="5"/>
      </w:pPr>
      <w:bookmarkStart w:id="21" w:name="_Toc14321"/>
      <w:r>
        <w:rPr>
          <w:rFonts w:ascii="微软雅黑" w:hAnsi="微软雅黑" w:eastAsia="微软雅黑"/>
          <w:b/>
          <w:i w:val="0"/>
          <w:sz w:val="28"/>
        </w:rPr>
        <w:t>步骤 C：Eye-to-Hand（场景 RealSense）采集与求解</w:t>
      </w:r>
      <w:bookmarkEnd w:id="21"/>
    </w:p>
    <w:p w14:paraId="51D90D9E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1. 场景相机固定；标定板装在末端，确保多数姿态下板朝向相机。</w:t>
      </w:r>
    </w:p>
    <w:p w14:paraId="6E25AE7C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2. 同样采集多组位姿与标定板相对相机位姿。</w:t>
      </w:r>
    </w:p>
    <w:p w14:paraId="78D5EA8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3. 按库文档传入 Eye-to-Hand 模式（OpenCV 对输入列表的解释与 Eye-in-Hand 不同，需对照官方说明构造 R、t）。</w:t>
      </w:r>
    </w:p>
    <w:p w14:paraId="40708C6F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4. 得到相机相对基座外参后，将场景点云/检测框变换到基座系，用已知桌面高度或第二块验证板检查误差。</w:t>
      </w:r>
    </w:p>
    <w:p w14:paraId="69C0D59A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5. 固化支架；记录相机相对机台的粗测尺寸，便于日后漂移排查。</w:t>
      </w:r>
    </w:p>
    <w:p w14:paraId="4CBD0924">
      <w:pPr>
        <w:pStyle w:val="5"/>
      </w:pPr>
      <w:bookmarkStart w:id="22" w:name="_Toc19613"/>
      <w:r>
        <w:rPr>
          <w:rFonts w:ascii="微软雅黑" w:hAnsi="微软雅黑" w:eastAsia="微软雅黑"/>
          <w:b/>
          <w:i w:val="0"/>
          <w:sz w:val="28"/>
        </w:rPr>
        <w:t>步骤 D：双相机协同部署建议</w:t>
      </w:r>
      <w:bookmarkEnd w:id="22"/>
    </w:p>
    <w:p w14:paraId="2400ACD7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1. 两套外参都变换到同一 </w:t>
      </w:r>
      <w:r>
        <w:rPr>
          <w:rFonts w:ascii="Consolas" w:hAnsi="Consolas" w:eastAsia="微软雅黑"/>
          <w:b w:val="0"/>
          <w:i w:val="0"/>
          <w:sz w:val="21"/>
        </w:rPr>
        <w:t>base</w:t>
      </w:r>
      <w:r>
        <w:rPr>
          <w:rFonts w:ascii="微软雅黑" w:hAnsi="微软雅黑" w:eastAsia="微软雅黑"/>
          <w:b w:val="0"/>
          <w:i w:val="0"/>
          <w:sz w:val="24"/>
        </w:rPr>
        <w:t xml:space="preserve"> 系。</w:t>
      </w:r>
    </w:p>
    <w:p w14:paraId="760F06C9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2. 任务流示例：场景相机粗定位工件 → 规划接近 → 腕部相机精细 6D 位姿 → 抓取。</w:t>
      </w:r>
    </w:p>
    <w:p w14:paraId="5C52D85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3. 定期回归：支架碰撞、换夹爪、重装相机后必须重标定或至少做验证集抽检。</w:t>
      </w:r>
    </w:p>
    <w:p w14:paraId="391650BC">
      <w:pPr>
        <w:pStyle w:val="4"/>
      </w:pPr>
      <w:bookmarkStart w:id="23" w:name="_Toc1697"/>
      <w:r>
        <w:rPr>
          <w:rFonts w:ascii="微软雅黑" w:hAnsi="微软雅黑" w:eastAsia="微软雅黑"/>
          <w:b/>
          <w:i w:val="0"/>
          <w:sz w:val="32"/>
        </w:rPr>
        <w:t>4.4 常见问题速查</w:t>
      </w:r>
      <w:bookmarkEnd w:id="23"/>
    </w:p>
    <w:p w14:paraId="1426F01C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20F5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08D450F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现象</w:t>
            </w:r>
          </w:p>
        </w:tc>
        <w:tc>
          <w:tcPr>
            <w:tcW w:w="3600" w:type="dxa"/>
            <w:shd w:val="clear" w:color="auto" w:fill="D9E2F3"/>
          </w:tcPr>
          <w:p w14:paraId="7A0E30D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可能原因</w:t>
            </w:r>
          </w:p>
        </w:tc>
        <w:tc>
          <w:tcPr>
            <w:tcW w:w="3600" w:type="dxa"/>
            <w:shd w:val="clear" w:color="auto" w:fill="D9E2F3"/>
          </w:tcPr>
          <w:p w14:paraId="7DCFB1B0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处理</w:t>
            </w:r>
          </w:p>
        </w:tc>
      </w:tr>
      <w:tr w14:paraId="2539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B3CC9F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平移偏差大、旋转尚可</w:t>
            </w:r>
          </w:p>
        </w:tc>
        <w:tc>
          <w:tcPr>
            <w:tcW w:w="3600" w:type="dxa"/>
          </w:tcPr>
          <w:p w14:paraId="026653C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板尺寸不准、深度尺度、时间不同步</w:t>
            </w:r>
          </w:p>
        </w:tc>
        <w:tc>
          <w:tcPr>
            <w:tcW w:w="3600" w:type="dxa"/>
          </w:tcPr>
          <w:p w14:paraId="14F4BFE3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重测格宽；静止曝光；检查单位</w:t>
            </w:r>
          </w:p>
        </w:tc>
      </w:tr>
      <w:tr w14:paraId="5459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782672F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换方法结果跳变大</w:t>
            </w:r>
          </w:p>
        </w:tc>
        <w:tc>
          <w:tcPr>
            <w:tcW w:w="3600" w:type="dxa"/>
          </w:tcPr>
          <w:p w14:paraId="209EFDC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位姿激励不足或噪声大</w:t>
            </w:r>
          </w:p>
        </w:tc>
        <w:tc>
          <w:tcPr>
            <w:tcW w:w="3600" w:type="dxa"/>
          </w:tcPr>
          <w:p w14:paraId="60A3420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增加姿态多样性；滤波角点</w:t>
            </w:r>
          </w:p>
        </w:tc>
      </w:tr>
      <w:tr w14:paraId="1413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0B43F9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运行一段时间变差</w:t>
            </w:r>
          </w:p>
        </w:tc>
        <w:tc>
          <w:tcPr>
            <w:tcW w:w="3600" w:type="dxa"/>
          </w:tcPr>
          <w:p w14:paraId="2FD7BF53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支架微动、线缆受力</w:t>
            </w:r>
          </w:p>
        </w:tc>
        <w:tc>
          <w:tcPr>
            <w:tcW w:w="3600" w:type="dxa"/>
          </w:tcPr>
          <w:p w14:paraId="6AE9E95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复打紧；加定位销；重标定</w:t>
            </w:r>
          </w:p>
        </w:tc>
      </w:tr>
      <w:tr w14:paraId="533B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E4EB4E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边缘位姿误差大</w:t>
            </w:r>
          </w:p>
        </w:tc>
        <w:tc>
          <w:tcPr>
            <w:tcW w:w="3600" w:type="dxa"/>
          </w:tcPr>
          <w:p w14:paraId="1168283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畸变/FOV；板几乎平行光轴</w:t>
            </w:r>
          </w:p>
        </w:tc>
        <w:tc>
          <w:tcPr>
            <w:tcW w:w="3600" w:type="dxa"/>
          </w:tcPr>
          <w:p w14:paraId="4A5C3E9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限制工作区；改善观测角</w:t>
            </w:r>
          </w:p>
        </w:tc>
      </w:tr>
    </w:tbl>
    <w:p w14:paraId="31B1A0F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5CCAD6C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2FF2986F">
      <w:pPr>
        <w:pStyle w:val="3"/>
      </w:pPr>
      <w:bookmarkStart w:id="24" w:name="_Toc12210"/>
      <w:r>
        <w:rPr>
          <w:rFonts w:ascii="微软雅黑" w:hAnsi="微软雅黑" w:eastAsia="微软雅黑"/>
          <w:b/>
          <w:i w:val="0"/>
          <w:sz w:val="36"/>
        </w:rPr>
        <w:t>5. 小结</w:t>
      </w:r>
      <w:bookmarkEnd w:id="24"/>
    </w:p>
    <w:p w14:paraId="0BA9FFD2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Eye-in-Hand</w:t>
      </w:r>
      <w:r>
        <w:rPr>
          <w:rFonts w:ascii="微软雅黑" w:hAnsi="微软雅黑" w:eastAsia="微软雅黑"/>
          <w:b w:val="0"/>
          <w:i w:val="0"/>
          <w:sz w:val="24"/>
        </w:rPr>
        <w:t>：相机在腕部，板在场景；核心求相机相对末端外参，服务近距精细作业。</w:t>
      </w:r>
    </w:p>
    <w:p w14:paraId="60B382CC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2A6EA31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【插图地址】assets/38.inline_eeTcam.png</w:t>
      </w:r>
    </w:p>
    <w:p w14:paraId="41F32095">
      <w:pPr>
        <w:spacing w:before="0" w:after="0" w:line="360" w:lineRule="auto"/>
        <w:jc w:val="center"/>
      </w:pPr>
      <w:r>
        <w:drawing>
          <wp:inline distT="0" distB="0" distL="114300" distR="114300">
            <wp:extent cx="602615" cy="269875"/>
            <wp:effectExtent l="0" t="0" r="698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12C0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EA3F3A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Eye-to-Hand</w:t>
      </w:r>
      <w:r>
        <w:rPr>
          <w:rFonts w:ascii="微软雅黑" w:hAnsi="微软雅黑" w:eastAsia="微软雅黑"/>
          <w:b w:val="0"/>
          <w:i w:val="0"/>
          <w:sz w:val="24"/>
        </w:rPr>
        <w:t>：相机在场景，板在手上；核心求相机相对基座外参，服务全局感知与调度。</w:t>
      </w:r>
    </w:p>
    <w:p w14:paraId="3D8B3A83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1223E49">
      <w:pPr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【插图地址】assets/39.inline_baseTcam.png</w:t>
      </w:r>
    </w:p>
    <w:p w14:paraId="6C901238">
      <w:pPr>
        <w:spacing w:before="0" w:after="0" w:line="360" w:lineRule="auto"/>
        <w:jc w:val="center"/>
      </w:pPr>
      <w:r>
        <w:drawing>
          <wp:inline distT="0" distB="0" distL="114300" distR="114300">
            <wp:extent cx="652780" cy="26987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35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99C2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B09634D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数学上两者都常归结为 </w:t>
      </w:r>
      <w:r>
        <w:rPr>
          <w:rFonts w:ascii="微软雅黑" w:hAnsi="微软雅黑" w:eastAsia="微软雅黑"/>
          <w:b/>
          <w:i w:val="0"/>
          <w:sz w:val="24"/>
        </w:rPr>
        <w:t>AX = XB</w:t>
      </w:r>
      <w:r>
        <w:rPr>
          <w:rFonts w:ascii="微软雅黑" w:hAnsi="微软雅黑" w:eastAsia="微软雅黑"/>
          <w:b w:val="0"/>
          <w:i w:val="0"/>
          <w:sz w:val="24"/>
        </w:rPr>
        <w:t>，差别在 A / B / X 的具体定义。</w:t>
      </w:r>
    </w:p>
    <w:p w14:paraId="1977FF69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对 RealSense：腕部与场景相机可并存；先内参与刚性安装，再多姿态采集，最后验证并固化外参。</w:t>
      </w:r>
    </w:p>
    <w:p w14:paraId="25E9DB3D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延伸阅读：</w:t>
      </w:r>
    </w:p>
    <w:p w14:paraId="2AF7287B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fldChar w:fldCharType="begin"/>
      </w:r>
      <w:r>
        <w:instrText xml:space="preserve"> HYPERLINK "https://en.wikipedia.org/wiki/Hand_eye_calibration_problem" \h </w:instrText>
      </w:r>
      <w:r>
        <w:fldChar w:fldCharType="separate"/>
      </w:r>
      <w:r>
        <w:rPr>
          <w:rFonts w:ascii="微软雅黑" w:hAnsi="微软雅黑" w:eastAsia="微软雅黑"/>
          <w:color w:val="0066CC"/>
          <w:sz w:val="24"/>
          <w:szCs w:val="24"/>
        </w:rPr>
        <w:t>Hand–eye calibration problem（Wikipedia）</w:t>
      </w:r>
      <w:r>
        <w:rPr>
          <w:rFonts w:ascii="微软雅黑" w:hAnsi="微软雅黑" w:eastAsia="微软雅黑"/>
          <w:color w:val="0066CC"/>
          <w:sz w:val="24"/>
          <w:szCs w:val="24"/>
        </w:rPr>
        <w:fldChar w:fldCharType="end"/>
      </w:r>
    </w:p>
    <w:p w14:paraId="65D33442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fldChar w:fldCharType="begin"/>
      </w:r>
      <w:r>
        <w:instrText xml:space="preserve"> HYPERLINK "https://docs.opencv.org/4.x/d9/d0c/group__calib3d.html#gaebfc1c9f7434196a374c382abf43439b" \h </w:instrText>
      </w:r>
      <w:r>
        <w:fldChar w:fldCharType="separate"/>
      </w:r>
      <w:r>
        <w:rPr>
          <w:rFonts w:ascii="微软雅黑" w:hAnsi="微软雅黑" w:eastAsia="微软雅黑"/>
          <w:color w:val="0066CC"/>
          <w:sz w:val="24"/>
          <w:szCs w:val="24"/>
        </w:rPr>
        <w:t>OpenCV calibrateHandEye</w:t>
      </w:r>
      <w:r>
        <w:rPr>
          <w:rFonts w:ascii="微软雅黑" w:hAnsi="微软雅黑" w:eastAsia="微软雅黑"/>
          <w:color w:val="0066CC"/>
          <w:sz w:val="24"/>
          <w:szCs w:val="24"/>
        </w:rPr>
        <w:fldChar w:fldCharType="end"/>
      </w:r>
      <w:bookmarkStart w:id="25" w:name="_GoBack"/>
      <w:bookmarkEnd w:id="25"/>
    </w:p>
    <w:p w14:paraId="19A919B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fldChar w:fldCharType="begin"/>
      </w:r>
      <w:r>
        <w:instrText xml:space="preserve"> HYPERLINK "https://dev.intelrealsense.com/docs" \h </w:instrText>
      </w:r>
      <w:r>
        <w:fldChar w:fldCharType="separate"/>
      </w:r>
      <w:r>
        <w:rPr>
          <w:rFonts w:ascii="微软雅黑" w:hAnsi="微软雅黑" w:eastAsia="微软雅黑"/>
          <w:color w:val="0066CC"/>
          <w:sz w:val="24"/>
          <w:szCs w:val="24"/>
        </w:rPr>
        <w:t>Intel RealSense 文档</w:t>
      </w:r>
      <w:r>
        <w:rPr>
          <w:rFonts w:ascii="微软雅黑" w:hAnsi="微软雅黑" w:eastAsia="微软雅黑"/>
          <w:color w:val="0066CC"/>
          <w:sz w:val="24"/>
          <w:szCs w:val="24"/>
        </w:rPr>
        <w:fldChar w:fldCharType="end"/>
      </w:r>
    </w:p>
    <w:p w14:paraId="67B3A1EC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1947D0B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*文档配图与公式图由本仓库脚本生成；公式约定请与所用机器人 SDK / OpenCV 版本对照后实施。*</w:t>
      </w:r>
    </w:p>
    <w:sectPr>
      <w:footerReference r:id="rId5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06200">
    <w:pPr>
      <w:pStyle w:val="25"/>
      <w:spacing w:line="360" w:lineRule="auto"/>
      <w:jc w:val="center"/>
    </w:pPr>
    <w:r>
      <w:rPr>
        <w:rFonts w:ascii="微软雅黑" w:hAnsi="微软雅黑" w:eastAsia="微软雅黑"/>
        <w:b w:val="0"/>
        <w:i w:val="0"/>
        <w:sz w:val="21"/>
      </w:rPr>
      <w:fldChar w:fldCharType="begin"/>
    </w:r>
    <w:r>
      <w:rPr>
        <w:rFonts w:ascii="微软雅黑" w:hAnsi="微软雅黑" w:eastAsia="微软雅黑"/>
        <w:b w:val="0"/>
        <w:i w:val="0"/>
        <w:sz w:val="21"/>
      </w:rPr>
      <w:instrText xml:space="preserve"> PAGE </w:instrText>
    </w:r>
    <w:r>
      <w:rPr>
        <w:rFonts w:ascii="微软雅黑" w:hAnsi="微软雅黑" w:eastAsia="微软雅黑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23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16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80" w:line="36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90</Words>
  <Characters>127</Characters>
  <Lines>0</Lines>
  <Paragraphs>0</Paragraphs>
  <TotalTime>0</TotalTime>
  <ScaleCrop>false</ScaleCrop>
  <LinksUpToDate>false</LinksUpToDate>
  <CharactersWithSpaces>139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我是炮弹</cp:lastModifiedBy>
  <dcterms:modified xsi:type="dcterms:W3CDTF">2026-10-20T13:09:51Z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eyJoZGlkIjoiNDU4NDEwOTU2M2E1NTNlN2FiNjZlZDFhNDlmNTM5MDIiLCJ1c2VySWQiOiIzMTcwMjc5MjMifQ==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9B7DE33FD1A14043BA1428FA9449DFEC_12</vt:lpwstr>
  </property>
</Properties>
</file>