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00"/>
        <w:jc w:val="center"/>
      </w:pPr>
      <w:r>
        <w:rPr>
          <w:rFonts w:ascii="Arial" w:cs="Arial" w:eastAsia="Arial" w:hAnsi="Arial"/>
          <w:b/>
          <w:bCs/>
          <w:color w:val="0D1B2A"/>
          <w:sz w:val="52"/>
          <w:szCs w:val="52"/>
        </w:rPr>
        <w:t xml:space="preserve">SMART FACTORY AUTOMATION</w:t>
      </w:r>
    </w:p>
    <w:p>
      <w:pPr>
        <w:spacing w:after="200"/>
        <w:jc w:val="center"/>
      </w:pPr>
      <w:r>
        <w:rPr>
          <w:rFonts w:ascii="Arial" w:cs="Arial" w:eastAsia="Arial" w:hAnsi="Arial"/>
          <w:color w:val="1565C0"/>
          <w:sz w:val="30"/>
          <w:szCs w:val="30"/>
        </w:rPr>
        <w:t xml:space="preserve">IoT-Driven Industrial Automation Platform</w:t>
      </w:r>
    </w:p>
    <w:p>
      <w:pPr>
        <w:pBdr>
          <w:bottom w:val="single" w:color="1565C0" w:sz="12" w:space="1"/>
        </w:pBdr>
        <w:spacing w:after="200"/>
        <w:jc w:val="center"/>
      </w:pPr>
      <w:r>
        <w:t xml:space="preserve"/>
      </w:r>
    </w:p>
    <w:p>
      <w:pPr>
        <w:spacing w:after="160"/>
      </w:pPr>
      <w:r>
        <w:t xml:space="preserve"/>
      </w:r>
    </w:p>
    <w:p>
      <w:pPr>
        <w:spacing w:after="100"/>
        <w:jc w:val="center"/>
      </w:pPr>
      <w:r>
        <w:rPr>
          <w:rFonts w:ascii="Arial" w:cs="Arial" w:eastAsia="Arial" w:hAnsi="Arial"/>
          <w:b/>
          <w:bCs/>
          <w:color w:val="0D1B2A"/>
          <w:sz w:val="30"/>
          <w:szCs w:val="30"/>
        </w:rPr>
        <w:t xml:space="preserve">Project Report</w:t>
      </w:r>
    </w:p>
    <w:p>
      <w:pPr>
        <w:spacing w:after="80"/>
        <w:jc w:val="center"/>
      </w:pPr>
      <w:r>
        <w:rPr>
          <w:rFonts w:ascii="Arial" w:cs="Arial" w:eastAsia="Arial" w:hAnsi="Arial"/>
          <w:color w:val="64748B"/>
          <w:sz w:val="22"/>
          <w:szCs w:val="22"/>
        </w:rPr>
        <w:t xml:space="preserve">Version 1.0  |  Prepared by Renata IoT  |  March 2025</w:t>
      </w:r>
    </w:p>
    <w:p>
      <w:pPr>
        <w:spacing w:after="400"/>
        <w:jc w:val="center"/>
      </w:pPr>
      <w:r>
        <w:rPr>
          <w:rFonts w:ascii="Arial" w:cs="Arial" w:eastAsia="Arial" w:hAnsi="Arial"/>
          <w:b/>
          <w:bCs/>
          <w:color w:val="991B1B"/>
          <w:sz w:val="20"/>
          <w:szCs w:val="20"/>
        </w:rPr>
        <w:t xml:space="preserve">CONFIDENTIAL</w:t>
      </w:r>
    </w:p>
    <w:p>
      <w:pPr>
        <w:spacing w:after="3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Client</w:t>
            </w:r>
          </w:p>
        </w:tc>
        <w:tc>
          <w:tcPr>
            <w:tcW w:type="dxa" w:w="708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Marelli Powertrain India Pvt. Ltd.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Project Code</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RIoT-SFA-2025-001</w:t>
            </w:r>
          </w:p>
        </w:tc>
      </w:tr>
      <w:tr>
        <w:tc>
          <w:tcPr>
            <w:tcW w:type="dxa" w:w="30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Report Period</w:t>
            </w:r>
          </w:p>
        </w:tc>
        <w:tc>
          <w:tcPr>
            <w:tcW w:type="dxa" w:w="708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January 2025 – March 2025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Project Phase</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Phase 2 — Integration &amp; Commissioning</w:t>
            </w:r>
          </w:p>
        </w:tc>
      </w:tr>
      <w:tr>
        <w:tc>
          <w:tcPr>
            <w:tcW w:type="dxa" w:w="30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Document Owner</w:t>
            </w:r>
          </w:p>
        </w:tc>
        <w:tc>
          <w:tcPr>
            <w:tcW w:type="dxa" w:w="708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 — Engineering Division</w:t>
            </w:r>
          </w:p>
        </w:tc>
      </w:tr>
    </w:tbl>
    <w:p>
      <w:pPr>
        <w:sectPr>
          <w:pgSz w:w="12240" w:h="15840" w:orient="portrait"/>
          <w:pgMar w:top="1080" w:right="1080" w:bottom="1080" w:left="1080" w:header="708" w:footer="708" w:gutter="0"/>
          <w:pgNumType/>
          <w:titlePg/>
          <w:docGrid w:linePitch="360"/>
        </w:sectPr>
      </w:pPr>
    </w:p>
    <w:p>
      <w:pPr>
        <w:pStyle w:val="Heading1"/>
        <w:pBdr>
          <w:bottom w:val="single" w:color="1565C0" w:sz="6" w:space="4"/>
        </w:pBdr>
        <w:spacing w:before="360" w:after="120"/>
      </w:pPr>
      <w:r>
        <w:rPr>
          <w:rFonts w:ascii="Arial" w:cs="Arial" w:eastAsia="Arial" w:hAnsi="Arial"/>
          <w:b/>
          <w:bCs/>
          <w:color w:val="0D1B2A"/>
          <w:sz w:val="32"/>
          <w:szCs w:val="32"/>
        </w:rPr>
        <w:t xml:space="preserve">1. Executive Summary</w:t>
      </w:r>
    </w:p>
    <w:p>
      <w:pPr>
        <w:spacing w:after="140" w:line="320"/>
        <w:jc w:val="both"/>
      </w:pPr>
      <w:r>
        <w:rPr>
          <w:rFonts w:ascii="Arial" w:cs="Arial" w:eastAsia="Arial" w:hAnsi="Arial"/>
          <w:color w:val="374151"/>
          <w:sz w:val="22"/>
          <w:szCs w:val="22"/>
        </w:rPr>
        <w:t xml:space="preserve">This report presents the progress, architecture, and outcomes of the Smart Factory Automation (SFA) project implemented at Marelli Powertrain India's manufacturing facility in Pune. The project deploys an IoT-driven industrial automation platform developed by Renata IoT to digitize and optimize powertrain component manufacturing operations.</w:t>
      </w:r>
    </w:p>
    <w:p>
      <w:pPr>
        <w:spacing w:after="140" w:line="320"/>
        <w:jc w:val="both"/>
      </w:pPr>
      <w:r>
        <w:rPr>
          <w:rFonts w:ascii="Arial" w:cs="Arial" w:eastAsia="Arial" w:hAnsi="Arial"/>
          <w:color w:val="374151"/>
          <w:sz w:val="22"/>
          <w:szCs w:val="22"/>
        </w:rPr>
        <w:t xml:space="preserve">The SFA platform integrates real-time machine monitoring, automated quality control, predictive maintenance, and production traceability into a unified digital backbone. Spanning Phase 2 of a three-phase implementation, this reporting period covers the successful integration of 47 CNC machines, deployment of edge computing nodes on the shop floor, and commissioning of the central SCADA-linked dashboard.</w:t>
      </w:r>
    </w:p>
    <w:p>
      <w:pPr>
        <w:spacing w:after="140" w:line="320"/>
        <w:jc w:val="both"/>
      </w:pPr>
      <w:r>
        <w:rPr>
          <w:rFonts w:ascii="Arial" w:cs="Arial" w:eastAsia="Arial" w:hAnsi="Arial"/>
          <w:color w:val="374151"/>
          <w:sz w:val="22"/>
          <w:szCs w:val="22"/>
        </w:rPr>
        <w:t xml:space="preserve">Key outcomes achieved during this phase include a 23% reduction in unplanned downtime, real-time OEE (Overall Equipment Effectiveness) visibility across all production lines, and a fully operational QR-code-based traceability system for finished components. The project remains on schedule and within approved budget parameters.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840"/>
      </w:tblGrid>
      <w:tr>
        <w:tc>
          <w:tcPr>
            <w:tcW w:type="dxa" w:w="336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Performance Indicator</w:t>
            </w:r>
          </w:p>
        </w:tc>
        <w:tc>
          <w:tcPr>
            <w:tcW w:type="dxa" w:w="288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w:t>
            </w:r>
          </w:p>
        </w:tc>
        <w:tc>
          <w:tcPr>
            <w:tcW w:type="dxa" w:w="38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(Phase 2)</w:t>
            </w:r>
          </w:p>
        </w:tc>
      </w:tr>
      <w:tr>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Unplanned Downtime</w:t>
            </w:r>
          </w:p>
        </w:tc>
        <w:tc>
          <w:tcPr>
            <w:tcW w:type="dxa" w:w="28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11.4 hrs/month</w:t>
            </w:r>
          </w:p>
        </w:tc>
        <w:tc>
          <w:tcPr>
            <w:tcW w:type="dxa" w:w="38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8.8 hrs/month  (↓ 23%)</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Overall Equipment Efficiency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67%</w:t>
            </w:r>
          </w:p>
        </w:tc>
        <w:tc>
          <w:tcPr>
            <w:tcW w:type="dxa" w:w="3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79%  (↑ 12 pts)</w:t>
            </w:r>
          </w:p>
        </w:tc>
      </w:tr>
      <w:tr>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Defect Escape Rate</w:t>
            </w:r>
          </w:p>
        </w:tc>
        <w:tc>
          <w:tcPr>
            <w:tcW w:type="dxa" w:w="28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w:t>
            </w:r>
          </w:p>
        </w:tc>
        <w:tc>
          <w:tcPr>
            <w:tcW w:type="dxa" w:w="38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0.9%  (↓ 57%)</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Mean Time to Repair (MTTR)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4.2 hrs</w:t>
            </w:r>
          </w:p>
        </w:tc>
        <w:tc>
          <w:tcPr>
            <w:tcW w:type="dxa" w:w="3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2.7 hrs  (↓ 36%)</w:t>
            </w:r>
          </w:p>
        </w:tc>
      </w:tr>
      <w:tr>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Traceability Coverage</w:t>
            </w:r>
          </w:p>
        </w:tc>
        <w:tc>
          <w:tcPr>
            <w:tcW w:type="dxa" w:w="28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8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166534"/>
                <w:sz w:val="20"/>
                <w:szCs w:val="20"/>
              </w:rPr>
              <w:t xml:space="preserve">100% of finished parts</w:t>
            </w:r>
          </w:p>
        </w:tc>
      </w:tr>
    </w:tbl>
    <w:p>
      <w:pPr>
        <w:pStyle w:val="Heading1"/>
        <w:pBdr>
          <w:bottom w:val="single" w:color="1565C0" w:sz="6" w:space="4"/>
        </w:pBdr>
        <w:spacing w:before="360" w:after="120"/>
      </w:pPr>
      <w:r>
        <w:rPr>
          <w:rFonts w:ascii="Arial" w:cs="Arial" w:eastAsia="Arial" w:hAnsi="Arial"/>
          <w:b/>
          <w:bCs/>
          <w:color w:val="0D1B2A"/>
          <w:sz w:val="32"/>
          <w:szCs w:val="32"/>
        </w:rPr>
        <w:t xml:space="preserve">2. Project Background &amp; Objectives</w:t>
      </w:r>
    </w:p>
    <w:p>
      <w:pPr>
        <w:pStyle w:val="Heading2"/>
        <w:spacing w:before="260" w:after="80"/>
      </w:pPr>
      <w:r>
        <w:rPr>
          <w:rFonts w:ascii="Arial" w:cs="Arial" w:eastAsia="Arial" w:hAnsi="Arial"/>
          <w:b/>
          <w:bCs/>
          <w:color w:val="1565C0"/>
          <w:sz w:val="26"/>
          <w:szCs w:val="26"/>
        </w:rPr>
        <w:t xml:space="preserve">2.1 Background</w:t>
      </w:r>
    </w:p>
    <w:p>
      <w:pPr>
        <w:spacing w:after="140" w:line="320"/>
        <w:jc w:val="both"/>
      </w:pPr>
      <w:r>
        <w:rPr>
          <w:rFonts w:ascii="Arial" w:cs="Arial" w:eastAsia="Arial" w:hAnsi="Arial"/>
          <w:color w:val="374151"/>
          <w:sz w:val="22"/>
          <w:szCs w:val="22"/>
        </w:rPr>
        <w:t xml:space="preserve">Marelli Powertrain India operates a 35,000 sq. ft. manufacturing facility producing fuel injection components and engine management modules for OEM customers across the Indian automotive sector. Prior to this engagement, the facility relied on manual data collection processes, siloed machine controllers, and periodic maintenance schedules with no real-time visibility into production health.</w:t>
      </w:r>
    </w:p>
    <w:p>
      <w:pPr>
        <w:spacing w:after="140" w:line="320"/>
        <w:jc w:val="both"/>
      </w:pPr>
      <w:r>
        <w:rPr>
          <w:rFonts w:ascii="Arial" w:cs="Arial" w:eastAsia="Arial" w:hAnsi="Arial"/>
          <w:color w:val="374151"/>
          <w:sz w:val="22"/>
          <w:szCs w:val="22"/>
        </w:rPr>
        <w:t xml:space="preserve">Following an operational audit conducted in Q4 2024, management identified significant losses attributable to unplanned stoppages, quality escapes at final inspection, and an inability to trace component genealogy for warranty claims. Renata IoT was engaged to design and implement a comprehensive IoT automation solution to address these gaps.</w:t>
      </w:r>
    </w:p>
    <w:p>
      <w:pPr>
        <w:pStyle w:val="Heading2"/>
        <w:spacing w:before="260" w:after="80"/>
      </w:pPr>
      <w:r>
        <w:rPr>
          <w:rFonts w:ascii="Arial" w:cs="Arial" w:eastAsia="Arial" w:hAnsi="Arial"/>
          <w:b/>
          <w:bCs/>
          <w:color w:val="1565C0"/>
          <w:sz w:val="26"/>
          <w:szCs w:val="26"/>
        </w:rPr>
        <w:t xml:space="preserve">2.2 Project Objectives</w:t>
      </w:r>
    </w:p>
    <w:p>
      <w:pPr>
        <w:spacing w:after="140" w:line="320"/>
        <w:jc w:val="both"/>
      </w:pPr>
      <w:r>
        <w:rPr>
          <w:rFonts w:ascii="Arial" w:cs="Arial" w:eastAsia="Arial" w:hAnsi="Arial"/>
          <w:color w:val="374151"/>
          <w:sz w:val="22"/>
          <w:szCs w:val="22"/>
        </w:rPr>
        <w:t xml:space="preserve">The SFA project is governed by the following primary objectives:</w:t>
      </w:r>
    </w:p>
    <w:p>
      <w:pPr>
        <w:pStyle w:val="ListParagraph"/>
        <w:numPr>
          <w:ilvl w:val="0"/>
          <w:numId w:val="2"/>
        </w:numPr>
        <w:spacing w:after="80" w:line="300"/>
      </w:pPr>
      <w:r>
        <w:rPr>
          <w:rFonts w:ascii="Arial" w:cs="Arial" w:eastAsia="Arial" w:hAnsi="Arial"/>
          <w:color w:val="374151"/>
          <w:sz w:val="22"/>
          <w:szCs w:val="22"/>
        </w:rPr>
        <w:t xml:space="preserve">Deploy real-time machine connectivity across all CNC, lathe, and assembly stations using OPC-UA and MQTT protocols.</w:t>
      </w:r>
    </w:p>
    <w:p>
      <w:pPr>
        <w:pStyle w:val="ListParagraph"/>
        <w:numPr>
          <w:ilvl w:val="0"/>
          <w:numId w:val="2"/>
        </w:numPr>
        <w:spacing w:after="80" w:line="300"/>
      </w:pPr>
      <w:r>
        <w:rPr>
          <w:rFonts w:ascii="Arial" w:cs="Arial" w:eastAsia="Arial" w:hAnsi="Arial"/>
          <w:color w:val="374151"/>
          <w:sz w:val="22"/>
          <w:szCs w:val="22"/>
        </w:rPr>
        <w:t xml:space="preserve">Implement AI-driven predictive maintenance to reduce unplanned downtime by a minimum of 20% within 6 months of full deployment.</w:t>
      </w:r>
    </w:p>
    <w:p>
      <w:pPr>
        <w:pStyle w:val="ListParagraph"/>
        <w:numPr>
          <w:ilvl w:val="0"/>
          <w:numId w:val="2"/>
        </w:numPr>
        <w:spacing w:after="80" w:line="300"/>
      </w:pPr>
      <w:r>
        <w:rPr>
          <w:rFonts w:ascii="Arial" w:cs="Arial" w:eastAsia="Arial" w:hAnsi="Arial"/>
          <w:color w:val="374151"/>
          <w:sz w:val="22"/>
          <w:szCs w:val="22"/>
        </w:rPr>
        <w:t xml:space="preserve">Establish end-to-end production traceability via QR code assignment at part creation, with full lineage capture through to finished goods.</w:t>
      </w:r>
    </w:p>
    <w:p>
      <w:pPr>
        <w:pStyle w:val="ListParagraph"/>
        <w:numPr>
          <w:ilvl w:val="0"/>
          <w:numId w:val="2"/>
        </w:numPr>
        <w:spacing w:after="80" w:line="300"/>
      </w:pPr>
      <w:r>
        <w:rPr>
          <w:rFonts w:ascii="Arial" w:cs="Arial" w:eastAsia="Arial" w:hAnsi="Arial"/>
          <w:color w:val="374151"/>
          <w:sz w:val="22"/>
          <w:szCs w:val="22"/>
        </w:rPr>
        <w:t xml:space="preserve">Integrate automated vision-based quality inspection at critical checkpoints, replacing manual go/no-go gauging for 12 component types.</w:t>
      </w:r>
    </w:p>
    <w:p>
      <w:pPr>
        <w:pStyle w:val="ListParagraph"/>
        <w:numPr>
          <w:ilvl w:val="0"/>
          <w:numId w:val="2"/>
        </w:numPr>
        <w:spacing w:after="80" w:line="300"/>
      </w:pPr>
      <w:r>
        <w:rPr>
          <w:rFonts w:ascii="Arial" w:cs="Arial" w:eastAsia="Arial" w:hAnsi="Arial"/>
          <w:color w:val="374151"/>
          <w:sz w:val="22"/>
          <w:szCs w:val="22"/>
        </w:rPr>
        <w:t xml:space="preserve">Provide management with a live OEE dashboard aggregating data from all production lines with drill-down capability to individual machine level.</w:t>
      </w:r>
    </w:p>
    <w:p>
      <w:pPr>
        <w:pStyle w:val="ListParagraph"/>
        <w:numPr>
          <w:ilvl w:val="0"/>
          <w:numId w:val="2"/>
        </w:numPr>
        <w:spacing w:after="80" w:line="300"/>
      </w:pPr>
      <w:r>
        <w:rPr>
          <w:rFonts w:ascii="Arial" w:cs="Arial" w:eastAsia="Arial" w:hAnsi="Arial"/>
          <w:color w:val="374151"/>
          <w:sz w:val="22"/>
          <w:szCs w:val="22"/>
        </w:rPr>
        <w:t xml:space="preserve">Ensure all data infrastructure complies with client cybersecurity policies and IEC 62443 industrial security standards.</w:t>
      </w:r>
    </w:p>
    <w:p>
      <w:pPr>
        <w:pStyle w:val="Heading2"/>
        <w:spacing w:before="260" w:after="80"/>
      </w:pPr>
      <w:r>
        <w:rPr>
          <w:rFonts w:ascii="Arial" w:cs="Arial" w:eastAsia="Arial" w:hAnsi="Arial"/>
          <w:b/>
          <w:bCs/>
          <w:color w:val="1565C0"/>
          <w:sz w:val="26"/>
          <w:szCs w:val="26"/>
        </w:rPr>
        <w:t xml:space="preserve">2.3 Project Phases</w:t>
      </w:r>
    </w:p>
    <w:p>
      <w:pPr>
        <w:spacing w:after="140" w:line="320"/>
        <w:jc w:val="both"/>
      </w:pPr>
      <w:r>
        <w:rPr>
          <w:rFonts w:ascii="Arial" w:cs="Arial" w:eastAsia="Arial" w:hAnsi="Arial"/>
          <w:color w:val="374151"/>
          <w:sz w:val="22"/>
          <w:szCs w:val="22"/>
        </w:rPr>
        <w:t xml:space="preserve">The implementation is structured across three phases with the following scope allocation: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4200"/>
        <w:gridCol w:w="2040"/>
      </w:tblGrid>
      <w:tr>
        <w:tc>
          <w:tcPr>
            <w:tcW w:type="dxa" w:w="14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w:t>
            </w:r>
          </w:p>
        </w:tc>
        <w:tc>
          <w:tcPr>
            <w:tcW w:type="dxa" w:w="42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c>
          <w:tcPr>
            <w:tcW w:type="dxa" w:w="20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1</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Oct – Dec 2024</w:t>
            </w:r>
          </w:p>
        </w:tc>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 setup, edge node deployment, OPC-UA connectivity for 20 pilot machines</w:t>
            </w:r>
          </w:p>
        </w:tc>
        <w:tc>
          <w:tcPr>
            <w:tcW w:type="dxa" w:w="204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Complete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Jan – Mar 2025</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machine integration (47 units), traceability system, vision inspection, SCADA dashboard</w:t>
            </w:r>
          </w:p>
        </w:tc>
        <w:tc>
          <w:tcPr>
            <w:tcW w:type="dxa" w:w="20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In Progress</w:t>
            </w:r>
          </w:p>
        </w:tc>
      </w:tr>
      <w:tr>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3</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Apr – Jun 2025</w:t>
            </w:r>
          </w:p>
        </w:tc>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Predictive maintenance models, advanced analytics, mobile application, client handover</w:t>
            </w:r>
          </w:p>
        </w:tc>
        <w:tc>
          <w:tcPr>
            <w:tcW w:type="dxa" w:w="204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Planned</w:t>
            </w:r>
          </w:p>
        </w:tc>
      </w:tr>
    </w:tbl>
    <w:p>
      <w:pPr>
        <w:pStyle w:val="Heading1"/>
        <w:pBdr>
          <w:bottom w:val="single" w:color="1565C0" w:sz="6" w:space="4"/>
        </w:pBdr>
        <w:spacing w:before="360" w:after="120"/>
      </w:pPr>
      <w:r>
        <w:rPr>
          <w:rFonts w:ascii="Arial" w:cs="Arial" w:eastAsia="Arial" w:hAnsi="Arial"/>
          <w:b/>
          <w:bCs/>
          <w:color w:val="0D1B2A"/>
          <w:sz w:val="32"/>
          <w:szCs w:val="32"/>
        </w:rPr>
        <w:t xml:space="preserve">3. System Architecture</w:t>
      </w:r>
    </w:p>
    <w:p>
      <w:pPr>
        <w:pStyle w:val="Heading2"/>
        <w:spacing w:before="260" w:after="80"/>
      </w:pPr>
      <w:r>
        <w:rPr>
          <w:rFonts w:ascii="Arial" w:cs="Arial" w:eastAsia="Arial" w:hAnsi="Arial"/>
          <w:b/>
          <w:bCs/>
          <w:color w:val="1565C0"/>
          <w:sz w:val="26"/>
          <w:szCs w:val="26"/>
        </w:rPr>
        <w:t xml:space="preserve">3.1 Architecture Overview</w:t>
      </w:r>
    </w:p>
    <w:p>
      <w:pPr>
        <w:spacing w:after="140" w:line="320"/>
        <w:jc w:val="both"/>
      </w:pPr>
      <w:r>
        <w:rPr>
          <w:rFonts w:ascii="Arial" w:cs="Arial" w:eastAsia="Arial" w:hAnsi="Arial"/>
          <w:color w:val="374151"/>
          <w:sz w:val="22"/>
          <w:szCs w:val="22"/>
        </w:rPr>
        <w:t xml:space="preserve">The SFA platform is designed around a four-layer industrial IoT reference architecture, ensuring clear separation between device connectivity, edge processing, cloud analytics, and enterprise application integration. This layered approach enables independent scaling, fault isolation, and maintainability across the platform lifecycle.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768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Components &amp; Function</w:t>
            </w:r>
          </w:p>
        </w:tc>
      </w:tr>
      <w:tr>
        <w:tc>
          <w:tcPr>
            <w:tcW w:type="dxa" w:w="24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Device Layer</w:t>
            </w:r>
          </w:p>
        </w:tc>
        <w:tc>
          <w:tcPr>
            <w:tcW w:type="dxa" w:w="768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CNC machines, PLCs, sensors (vibration, temperature, pressure, power), vision cameras, QR scanners. Communicates via OPC-UA, MQTT, and Modbus TCP.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Edge Layer</w:t>
            </w:r>
          </w:p>
        </w:tc>
        <w:tc>
          <w:tcPr>
            <w:tcW w:type="dxa" w:w="7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Industrial edge nodes (Advantech UNO-2372G) running containerized inference engines. Handles protocol translation, local event processing, and buffered data forwarding. Reduces cloud dependency for latency-critical operations.</w:t>
            </w:r>
          </w:p>
        </w:tc>
      </w:tr>
      <w:tr>
        <w:tc>
          <w:tcPr>
            <w:tcW w:type="dxa" w:w="24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Platform Layer</w:t>
            </w:r>
          </w:p>
        </w:tc>
        <w:tc>
          <w:tcPr>
            <w:tcW w:type="dxa" w:w="768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Django-based IoT platform hosted on a private cloud (client-managed on-premise server). Manages device registry, data ingestion pipelines, time-series storage (InfluxDB), relational data (PostgreSQL), and real-time event streaming via Redis and SSE.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Application Layer</w:t>
            </w:r>
          </w:p>
        </w:tc>
        <w:tc>
          <w:tcPr>
            <w:tcW w:type="dxa" w:w="7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Web-based SCADA dashboard for production operators, OEE analytics portal for management, traceability portal with QR-based component lookup, and REST API for ERP integration (SAP B1).</w:t>
            </w:r>
          </w:p>
        </w:tc>
      </w:tr>
    </w:tbl>
    <w:p>
      <w:pPr>
        <w:pStyle w:val="Heading2"/>
        <w:spacing w:before="260" w:after="80"/>
      </w:pPr>
      <w:r>
        <w:rPr>
          <w:rFonts w:ascii="Arial" w:cs="Arial" w:eastAsia="Arial" w:hAnsi="Arial"/>
          <w:b/>
          <w:bCs/>
          <w:color w:val="1565C0"/>
          <w:sz w:val="26"/>
          <w:szCs w:val="26"/>
        </w:rPr>
        <w:t xml:space="preserve">3.2 Communication Protocols</w:t>
      </w:r>
    </w:p>
    <w:p>
      <w:pPr>
        <w:spacing w:after="140" w:line="320"/>
        <w:jc w:val="both"/>
      </w:pPr>
      <w:r>
        <w:rPr>
          <w:rFonts w:ascii="Arial" w:cs="Arial" w:eastAsia="Arial" w:hAnsi="Arial"/>
          <w:color w:val="374151"/>
          <w:sz w:val="22"/>
          <w:szCs w:val="22"/>
        </w:rPr>
        <w:t xml:space="preserve">Machine connectivity employs OPC-UA as the primary industrial protocol for CNC and lathe stations due to its native support for structured data models and security profiles. Legacy PLCs are bridged via Modbus TCP-to-MQTT gateways deployed at each production cell. All edge-to-platform communication uses MQTT over TLS 1.3, with QoS Level 1 to guarantee message delivery without duplication overhead.</w:t>
      </w:r>
    </w:p>
    <w:p>
      <w:pPr>
        <w:pStyle w:val="Heading2"/>
        <w:spacing w:before="260" w:after="80"/>
      </w:pPr>
      <w:r>
        <w:rPr>
          <w:rFonts w:ascii="Arial" w:cs="Arial" w:eastAsia="Arial" w:hAnsi="Arial"/>
          <w:b/>
          <w:bCs/>
          <w:color w:val="1565C0"/>
          <w:sz w:val="26"/>
          <w:szCs w:val="26"/>
        </w:rPr>
        <w:t xml:space="preserve">3.3 Data Flow</w:t>
      </w:r>
    </w:p>
    <w:p>
      <w:pPr>
        <w:spacing w:after="140" w:line="320"/>
        <w:jc w:val="both"/>
      </w:pPr>
      <w:r>
        <w:rPr>
          <w:rFonts w:ascii="Arial" w:cs="Arial" w:eastAsia="Arial" w:hAnsi="Arial"/>
          <w:color w:val="374151"/>
          <w:sz w:val="22"/>
          <w:szCs w:val="22"/>
        </w:rPr>
        <w:t xml:space="preserve">Sensor data is sampled at 100 ms intervals at the edge layer. The edge node applies local filtering and aggregation, publishing 1-second summary telemetry and immediate event alerts to the platform. Time-series data is stored in InfluxDB with a 90-day high-resolution retention policy. Aggregated daily metrics are archived to PostgreSQL for long-term analytics and compliance reporting.</w:t>
      </w:r>
    </w:p>
    <w:p>
      <w:pPr>
        <w:pStyle w:val="Heading2"/>
        <w:spacing w:before="260" w:after="80"/>
      </w:pPr>
      <w:r>
        <w:rPr>
          <w:rFonts w:ascii="Arial" w:cs="Arial" w:eastAsia="Arial" w:hAnsi="Arial"/>
          <w:b/>
          <w:bCs/>
          <w:color w:val="1565C0"/>
          <w:sz w:val="26"/>
          <w:szCs w:val="26"/>
        </w:rPr>
        <w:t xml:space="preserve">3.4 Technology Stack</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36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6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Backend Platform</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Python 3.11 / Django 4.2</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Mature framework, strong ORM, REST API support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Time-Series DB</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InfluxDB 2.7</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Purpose-built for high-frequency sensor data</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Relational DB</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PostgreSQL 15</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ACID compliance for traceability and audit logs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Message Broker</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MQTT (Mosquitto) + Redis Streams</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Low-latency event delivery and task queuing</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Edge Runtime</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on Advantech UNO-2372G</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Containerized deployment for easy OTA updates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ML Inference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YOLOv8 + TensorRT</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GPU-optimized vision inspection at the edge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Frontend</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React + Recharts + Tailwind CSS</w:t>
            </w:r>
          </w:p>
        </w:tc>
        <w:tc>
          <w:tcPr>
            <w:tcW w:type="dxa" w:w="36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Responsive, real-time dashboard rendering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ERP Integration</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SAP B1 REST API</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Production order and goods receipt sync</w:t>
            </w:r>
          </w:p>
        </w:tc>
      </w:tr>
    </w:tbl>
    <w:p>
      <w:pPr>
        <w:pStyle w:val="Heading1"/>
        <w:pBdr>
          <w:bottom w:val="single" w:color="1565C0" w:sz="6" w:space="4"/>
        </w:pBdr>
        <w:spacing w:before="360" w:after="120"/>
      </w:pPr>
      <w:r>
        <w:rPr>
          <w:rFonts w:ascii="Arial" w:cs="Arial" w:eastAsia="Arial" w:hAnsi="Arial"/>
          <w:b/>
          <w:bCs/>
          <w:color w:val="0D1B2A"/>
          <w:sz w:val="32"/>
          <w:szCs w:val="32"/>
        </w:rPr>
        <w:t xml:space="preserve">4. Platform Modules</w:t>
      </w:r>
    </w:p>
    <w:p>
      <w:pPr>
        <w:pStyle w:val="Heading2"/>
        <w:spacing w:before="260" w:after="80"/>
      </w:pPr>
      <w:r>
        <w:rPr>
          <w:rFonts w:ascii="Arial" w:cs="Arial" w:eastAsia="Arial" w:hAnsi="Arial"/>
          <w:b/>
          <w:bCs/>
          <w:color w:val="1565C0"/>
          <w:sz w:val="26"/>
          <w:szCs w:val="26"/>
        </w:rPr>
        <w:t xml:space="preserve">4.1 Machine Monitoring &amp; OEE</w:t>
      </w:r>
    </w:p>
    <w:p>
      <w:pPr>
        <w:spacing w:after="140" w:line="320"/>
        <w:jc w:val="both"/>
      </w:pPr>
      <w:r>
        <w:rPr>
          <w:rFonts w:ascii="Arial" w:cs="Arial" w:eastAsia="Arial" w:hAnsi="Arial"/>
          <w:color w:val="374151"/>
          <w:sz w:val="22"/>
          <w:szCs w:val="22"/>
        </w:rPr>
        <w:t xml:space="preserve">The machine monitoring module provides real-time visibility into the operational status of all 47 connected machines. Each machine publishes availability state (Running, Idle, Fault, Setup), active production order, current cycle count, and spindle load to the platform at 1-second resolution. The OEE engine calculates Availability, Performance, and Quality scores in real time, aggregating them into an overall OEE figure visible on the shop floor display and management dashboard.</w:t>
      </w:r>
    </w:p>
    <w:p>
      <w:pPr>
        <w:spacing w:after="140" w:line="320"/>
        <w:jc w:val="both"/>
      </w:pPr>
      <w:r>
        <w:rPr>
          <w:rFonts w:ascii="Arial" w:cs="Arial" w:eastAsia="Arial" w:hAnsi="Arial"/>
          <w:color w:val="374151"/>
          <w:sz w:val="22"/>
          <w:szCs w:val="22"/>
        </w:rPr>
        <w:t xml:space="preserve">During Phase 2, OEE rose from a baseline of 67% to 79% across all production lines, driven primarily by a 15% reduction in unscheduled stops and faster fault response enabled by immediate operator alert notifications via the dashboard and SMS gateway.</w:t>
      </w:r>
    </w:p>
    <w:p>
      <w:pPr>
        <w:pStyle w:val="Heading2"/>
        <w:spacing w:before="260" w:after="80"/>
      </w:pPr>
      <w:r>
        <w:rPr>
          <w:rFonts w:ascii="Arial" w:cs="Arial" w:eastAsia="Arial" w:hAnsi="Arial"/>
          <w:b/>
          <w:bCs/>
          <w:color w:val="1565C0"/>
          <w:sz w:val="26"/>
          <w:szCs w:val="26"/>
        </w:rPr>
        <w:t xml:space="preserve">4.2 Traceability System</w:t>
      </w:r>
    </w:p>
    <w:p>
      <w:pPr>
        <w:spacing w:after="140" w:line="320"/>
        <w:jc w:val="both"/>
      </w:pPr>
      <w:r>
        <w:rPr>
          <w:rFonts w:ascii="Arial" w:cs="Arial" w:eastAsia="Arial" w:hAnsi="Arial"/>
          <w:color w:val="374151"/>
          <w:sz w:val="22"/>
          <w:szCs w:val="22"/>
        </w:rPr>
        <w:t xml:space="preserve">The traceability module assigns a unique QR code to each workpiece at the first machining operation. As the part travels through each subsequent station, operators scan the QR code to log the operation, machine ID, operator ID, timestamp, and measured quality parameters. The system maintains a complete manufacturing genealogy record, enabling rapid root-cause investigation for warranty returns and audit-ready compliance reports.</w:t>
      </w:r>
    </w:p>
    <w:p>
      <w:pPr>
        <w:spacing w:after="140" w:line="320"/>
        <w:jc w:val="both"/>
      </w:pPr>
      <w:r>
        <w:rPr>
          <w:rFonts w:ascii="Arial" w:cs="Arial" w:eastAsia="Arial" w:hAnsi="Arial"/>
          <w:color w:val="374151"/>
          <w:sz w:val="22"/>
          <w:szCs w:val="22"/>
        </w:rPr>
        <w:t xml:space="preserve">The traceability portal provides a web interface for component lookup, lineage visualization, and batch reporting. As of the end of Phase 2, 100% of finished components carry a complete digital trace record, fulfilling the client's IATF 16949 traceability requirement.</w:t>
      </w:r>
    </w:p>
    <w:p>
      <w:pPr>
        <w:pStyle w:val="Heading2"/>
        <w:spacing w:before="260" w:after="80"/>
      </w:pPr>
      <w:r>
        <w:rPr>
          <w:rFonts w:ascii="Arial" w:cs="Arial" w:eastAsia="Arial" w:hAnsi="Arial"/>
          <w:b/>
          <w:bCs/>
          <w:color w:val="1565C0"/>
          <w:sz w:val="26"/>
          <w:szCs w:val="26"/>
        </w:rPr>
        <w:t xml:space="preserve">4.3 Vision-Based Quality Inspection</w:t>
      </w:r>
    </w:p>
    <w:p>
      <w:pPr>
        <w:spacing w:after="140" w:line="320"/>
        <w:jc w:val="both"/>
      </w:pPr>
      <w:r>
        <w:rPr>
          <w:rFonts w:ascii="Arial" w:cs="Arial" w:eastAsia="Arial" w:hAnsi="Arial"/>
          <w:color w:val="374151"/>
          <w:sz w:val="22"/>
          <w:szCs w:val="22"/>
        </w:rPr>
        <w:t xml:space="preserve">Automated visual inspection stations have been deployed at two critical checkpoints: post-machining dimensional verification and pre-assembly surface defect detection. Each station uses a Hikvision MV-CS060-10GC GigE camera paired with a calibrated telecentric lens. A custom-trained YOLOv8 model performs real-time defect classification, achieving 99.2% detection accuracy across 12 defect categories including burrs, chips, surface scratches, and thread damage.</w:t>
      </w:r>
    </w:p>
    <w:p>
      <w:pPr>
        <w:spacing w:after="140" w:line="320"/>
        <w:jc w:val="both"/>
      </w:pPr>
      <w:r>
        <w:rPr>
          <w:rFonts w:ascii="Arial" w:cs="Arial" w:eastAsia="Arial" w:hAnsi="Arial"/>
          <w:color w:val="374151"/>
          <w:sz w:val="22"/>
          <w:szCs w:val="22"/>
        </w:rPr>
        <w:t xml:space="preserve">Rejected parts are automatically diverted via a pneumatic reject gate and logged to the quality management module with full image evidence. The system has reduced the defect escape rate from 2.1% to 0.9% compared to the manual inspection baseline.</w:t>
      </w:r>
    </w:p>
    <w:p>
      <w:pPr>
        <w:pStyle w:val="Heading2"/>
        <w:spacing w:before="260" w:after="80"/>
      </w:pPr>
      <w:r>
        <w:rPr>
          <w:rFonts w:ascii="Arial" w:cs="Arial" w:eastAsia="Arial" w:hAnsi="Arial"/>
          <w:b/>
          <w:bCs/>
          <w:color w:val="1565C0"/>
          <w:sz w:val="26"/>
          <w:szCs w:val="26"/>
        </w:rPr>
        <w:t xml:space="preserve">4.4 Predictive Maintenance (In Development)</w:t>
      </w:r>
    </w:p>
    <w:p>
      <w:pPr>
        <w:spacing w:after="140" w:line="320"/>
        <w:jc w:val="both"/>
      </w:pPr>
      <w:r>
        <w:rPr>
          <w:rFonts w:ascii="Arial" w:cs="Arial" w:eastAsia="Arial" w:hAnsi="Arial"/>
          <w:color w:val="374151"/>
          <w:sz w:val="22"/>
          <w:szCs w:val="22"/>
        </w:rPr>
        <w:t xml:space="preserve">The predictive maintenance module is under active development as part of Phase 3. During Phase 2, data collection infrastructure for vibration, temperature, and power draw has been completed for all 47 machines. Historical fault data is being labeled in preparation for training LSTM-based anomaly detection models. Initial model training is scheduled to begin in April 2025.</w:t>
      </w:r>
    </w:p>
    <w:p>
      <w:pPr>
        <w:pStyle w:val="Heading1"/>
        <w:pBdr>
          <w:bottom w:val="single" w:color="1565C0" w:sz="6" w:space="4"/>
        </w:pBdr>
        <w:spacing w:before="360" w:after="120"/>
      </w:pPr>
      <w:r>
        <w:rPr>
          <w:rFonts w:ascii="Arial" w:cs="Arial" w:eastAsia="Arial" w:hAnsi="Arial"/>
          <w:b/>
          <w:bCs/>
          <w:color w:val="0D1B2A"/>
          <w:sz w:val="32"/>
          <w:szCs w:val="32"/>
        </w:rPr>
        <w:t xml:space="preserve">5. Risk Register</w:t>
      </w:r>
    </w:p>
    <w:p>
      <w:pPr>
        <w:spacing w:after="140" w:line="320"/>
        <w:jc w:val="both"/>
      </w:pPr>
      <w:r>
        <w:rPr>
          <w:rFonts w:ascii="Arial" w:cs="Arial" w:eastAsia="Arial" w:hAnsi="Arial"/>
          <w:color w:val="374151"/>
          <w:sz w:val="22"/>
          <w:szCs w:val="22"/>
        </w:rPr>
        <w:t xml:space="preserve">The following risks have been identified, assessed, and are being actively managed as of the close of Phase 2.</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1440"/>
        <w:gridCol w:w="1440"/>
        <w:gridCol w:w="2560"/>
      </w:tblGrid>
      <w:tr>
        <w:tc>
          <w:tcPr>
            <w:tcW w:type="dxa" w:w="14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32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Description</w:t>
            </w:r>
          </w:p>
        </w:tc>
        <w:tc>
          <w:tcPr>
            <w:tcW w:type="dxa" w:w="14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44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56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R-01</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Legacy PLC firmware incompatibility with OPC-UA adapter</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Vendor firmware patch applied; fallback Modbus bridge in place</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Network latency spikes affecting real-time SSE streaming</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Redis buffer absorbs spikes; reconnect logic with exponential backoff</w:t>
            </w:r>
          </w:p>
        </w:tc>
      </w:tr>
      <w:tr>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R-03</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Edge node storage exhaustion during connectivity outage</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Local ring buffer limits enforced; alert triggered at 80% capacity</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YOLOv8 model drift due to lighting changes on shop floor</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Quarterly retraining schedule; automated confidence score monitoring</w:t>
            </w:r>
          </w:p>
        </w:tc>
      </w:tr>
      <w:tr>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R-05</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SAP B1 API breaking changes post client upgrade</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144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2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version pinned; integration tests run against staging environment</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R-06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Operator adoption resistance to QR scan workflow</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Change management training completed; 94% scan compliance achieved</w:t>
            </w:r>
          </w:p>
        </w:tc>
      </w:tr>
    </w:tbl>
    <w:p>
      <w:pPr>
        <w:pStyle w:val="Heading1"/>
        <w:pBdr>
          <w:bottom w:val="single" w:color="1565C0" w:sz="6" w:space="4"/>
        </w:pBdr>
        <w:spacing w:before="360" w:after="120"/>
      </w:pPr>
      <w:r>
        <w:rPr>
          <w:rFonts w:ascii="Arial" w:cs="Arial" w:eastAsia="Arial" w:hAnsi="Arial"/>
          <w:b/>
          <w:bCs/>
          <w:color w:val="0D1B2A"/>
          <w:sz w:val="32"/>
          <w:szCs w:val="32"/>
        </w:rPr>
        <w:t xml:space="preserve">6. Phase 3 Plan &amp; Next Steps</w:t>
      </w:r>
    </w:p>
    <w:p>
      <w:pPr>
        <w:pStyle w:val="Heading2"/>
        <w:spacing w:before="260" w:after="80"/>
      </w:pPr>
      <w:r>
        <w:rPr>
          <w:rFonts w:ascii="Arial" w:cs="Arial" w:eastAsia="Arial" w:hAnsi="Arial"/>
          <w:b/>
          <w:bCs/>
          <w:color w:val="1565C0"/>
          <w:sz w:val="26"/>
          <w:szCs w:val="26"/>
        </w:rPr>
        <w:t xml:space="preserve">6.1 Phase 3 Scope</w:t>
      </w:r>
    </w:p>
    <w:p>
      <w:pPr>
        <w:spacing w:after="140" w:line="320"/>
        <w:jc w:val="both"/>
      </w:pPr>
      <w:r>
        <w:rPr>
          <w:rFonts w:ascii="Arial" w:cs="Arial" w:eastAsia="Arial" w:hAnsi="Arial"/>
          <w:color w:val="374151"/>
          <w:sz w:val="22"/>
          <w:szCs w:val="22"/>
        </w:rPr>
        <w:t xml:space="preserve">Phase 3 (April – June 2025) will deliver the remaining platform capabilities and formally transition system ownership to the Marelli operations team. The following deliverables are scheduled for this phase:</w:t>
      </w:r>
    </w:p>
    <w:p>
      <w:pPr>
        <w:pStyle w:val="ListParagraph"/>
        <w:numPr>
          <w:ilvl w:val="0"/>
          <w:numId w:val="2"/>
        </w:numPr>
        <w:spacing w:after="80" w:line="300"/>
      </w:pPr>
      <w:r>
        <w:rPr>
          <w:rFonts w:ascii="Arial" w:cs="Arial" w:eastAsia="Arial" w:hAnsi="Arial"/>
          <w:color w:val="374151"/>
          <w:sz w:val="22"/>
          <w:szCs w:val="22"/>
        </w:rPr>
        <w:t xml:space="preserve">Predictive maintenance model training, validation, and deployment for the 12 highest-criticality machines.</w:t>
      </w:r>
    </w:p>
    <w:p>
      <w:pPr>
        <w:pStyle w:val="ListParagraph"/>
        <w:numPr>
          <w:ilvl w:val="0"/>
          <w:numId w:val="2"/>
        </w:numPr>
        <w:spacing w:after="80" w:line="300"/>
      </w:pPr>
      <w:r>
        <w:rPr>
          <w:rFonts w:ascii="Arial" w:cs="Arial" w:eastAsia="Arial" w:hAnsi="Arial"/>
          <w:color w:val="374151"/>
          <w:sz w:val="22"/>
          <w:szCs w:val="22"/>
        </w:rPr>
        <w:t xml:space="preserve">Mobile application (Android) for shift supervisors providing live OEE, active alerts, and traceability lookup.</w:t>
      </w:r>
    </w:p>
    <w:p>
      <w:pPr>
        <w:pStyle w:val="ListParagraph"/>
        <w:numPr>
          <w:ilvl w:val="0"/>
          <w:numId w:val="2"/>
        </w:numPr>
        <w:spacing w:after="80" w:line="300"/>
      </w:pPr>
      <w:r>
        <w:rPr>
          <w:rFonts w:ascii="Arial" w:cs="Arial" w:eastAsia="Arial" w:hAnsi="Arial"/>
          <w:color w:val="374151"/>
          <w:sz w:val="22"/>
          <w:szCs w:val="22"/>
        </w:rPr>
        <w:t xml:space="preserve">Advanced analytics module including shift-comparison reports, scrap trend analysis, and energy consumption monitoring.</w:t>
      </w:r>
    </w:p>
    <w:p>
      <w:pPr>
        <w:pStyle w:val="ListParagraph"/>
        <w:numPr>
          <w:ilvl w:val="0"/>
          <w:numId w:val="2"/>
        </w:numPr>
        <w:spacing w:after="80" w:line="300"/>
      </w:pPr>
      <w:r>
        <w:rPr>
          <w:rFonts w:ascii="Arial" w:cs="Arial" w:eastAsia="Arial" w:hAnsi="Arial"/>
          <w:color w:val="374151"/>
          <w:sz w:val="22"/>
          <w:szCs w:val="22"/>
        </w:rPr>
        <w:t xml:space="preserve">Full operator and maintenance technician training programme with competency assessment.</w:t>
      </w:r>
    </w:p>
    <w:p>
      <w:pPr>
        <w:pStyle w:val="ListParagraph"/>
        <w:numPr>
          <w:ilvl w:val="0"/>
          <w:numId w:val="2"/>
        </w:numPr>
        <w:spacing w:after="80" w:line="300"/>
      </w:pPr>
      <w:r>
        <w:rPr>
          <w:rFonts w:ascii="Arial" w:cs="Arial" w:eastAsia="Arial" w:hAnsi="Arial"/>
          <w:color w:val="374151"/>
          <w:sz w:val="22"/>
          <w:szCs w:val="22"/>
        </w:rPr>
        <w:t xml:space="preserve">Formal Factory Acceptance Testing (FAT) and Site Acceptance Testing (SAT) with client quality assurance team.</w:t>
      </w:r>
    </w:p>
    <w:p>
      <w:pPr>
        <w:pStyle w:val="ListParagraph"/>
        <w:numPr>
          <w:ilvl w:val="0"/>
          <w:numId w:val="2"/>
        </w:numPr>
        <w:spacing w:after="80" w:line="300"/>
      </w:pPr>
      <w:r>
        <w:rPr>
          <w:rFonts w:ascii="Arial" w:cs="Arial" w:eastAsia="Arial" w:hAnsi="Arial"/>
          <w:color w:val="374151"/>
          <w:sz w:val="22"/>
          <w:szCs w:val="22"/>
        </w:rPr>
        <w:t xml:space="preserve">Handover documentation including system architecture guide, administrator manual, and ongoing support SLA.</w:t>
      </w:r>
    </w:p>
    <w:p>
      <w:pPr>
        <w:pStyle w:val="Heading2"/>
        <w:spacing w:before="260" w:after="80"/>
      </w:pPr>
      <w:r>
        <w:rPr>
          <w:rFonts w:ascii="Arial" w:cs="Arial" w:eastAsia="Arial" w:hAnsi="Arial"/>
          <w:b/>
          <w:bCs/>
          <w:color w:val="1565C0"/>
          <w:sz w:val="26"/>
          <w:szCs w:val="26"/>
        </w:rPr>
        <w:t xml:space="preserve">6.2 Milestone Schedule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80"/>
        <w:gridCol w:w="2000"/>
        <w:gridCol w:w="2000"/>
      </w:tblGrid>
      <w:tr>
        <w:tc>
          <w:tcPr>
            <w:tcW w:type="dxa" w:w="20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c>
          <w:tcPr>
            <w:tcW w:type="dxa" w:w="408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c>
          <w:tcPr>
            <w:tcW w:type="dxa" w:w="2000"/>
            <w:tcBorders>
              <w:top w:val="single" w:color="CBD5E1" w:sz="1"/>
              <w:left w:val="single" w:color="CBD5E1" w:sz="1"/>
              <w:bottom w:val="single" w:color="CBD5E1" w:sz="1"/>
              <w:right w:val="single" w:color="CBD5E1" w:sz="1"/>
            </w:tcBorders>
            <w:shd w:fill="0D1B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M3.1</w:t>
            </w:r>
          </w:p>
        </w:tc>
        <w:tc>
          <w:tcPr>
            <w:tcW w:type="dxa" w:w="40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Predictive maintenance data labelling complete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April 15, 2025</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M3.2</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LSTM anomaly model v1 trained and validated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May 5, 2025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M3.3</w:t>
            </w:r>
          </w:p>
        </w:tc>
        <w:tc>
          <w:tcPr>
            <w:tcW w:type="dxa" w:w="40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Mobile application beta release to supervisors</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May 12, 2025</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M3.4</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Advanced analytics module live on dashboard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May 26, 2025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M3.5</w:t>
            </w:r>
          </w:p>
        </w:tc>
        <w:tc>
          <w:tcPr>
            <w:tcW w:type="dxa" w:w="40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Operator training programme completed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June 4, 2025</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Renata IoT + Marelli HR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M3.6</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Factory Acceptance Testing (FAT)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June 11, 2025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Joint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M3.7</w:t>
            </w:r>
          </w:p>
        </w:tc>
        <w:tc>
          <w:tcPr>
            <w:tcW w:type="dxa" w:w="40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Site Acceptance Testing (SAT) sign-off</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June 20, 2025</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Marelli QA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M3.8</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Project handover and closure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June 30, 2025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Joint</w:t>
            </w:r>
          </w:p>
        </w:tc>
      </w:tr>
    </w:tbl>
    <w:p>
      <w:pPr>
        <w:spacing w:after="160"/>
      </w:pPr>
      <w:r>
        <w:t xml:space="preserve"/>
      </w:r>
    </w:p>
    <w:p>
      <w:pPr>
        <w:pStyle w:val="Heading2"/>
        <w:spacing w:before="260" w:after="80"/>
      </w:pPr>
      <w:r>
        <w:rPr>
          <w:rFonts w:ascii="Arial" w:cs="Arial" w:eastAsia="Arial" w:hAnsi="Arial"/>
          <w:b/>
          <w:bCs/>
          <w:color w:val="1565C0"/>
          <w:sz w:val="26"/>
          <w:szCs w:val="26"/>
        </w:rPr>
        <w:t xml:space="preserve">6.3 Conclusion</w:t>
      </w:r>
    </w:p>
    <w:p>
      <w:pPr>
        <w:spacing w:after="140" w:line="320"/>
        <w:jc w:val="both"/>
      </w:pPr>
      <w:r>
        <w:rPr>
          <w:rFonts w:ascii="Arial" w:cs="Arial" w:eastAsia="Arial" w:hAnsi="Arial"/>
          <w:color w:val="374151"/>
          <w:sz w:val="22"/>
          <w:szCs w:val="22"/>
        </w:rPr>
        <w:t xml:space="preserve">Phase 2 of the Smart Factory Automation project has delivered substantial, measurable improvements to Marelli's manufacturing operations. The IoT platform is operating stably, the traceability system has achieved full production coverage, and the vision inspection module has significantly reduced quality escapes. With the groundwork for predictive maintenance now in place, Phase 3 is well positioned to deliver the project's highest-value analytics capabilities on schedule.</w:t>
      </w:r>
    </w:p>
    <w:p>
      <w:pPr>
        <w:spacing w:after="140" w:line="320"/>
        <w:jc w:val="both"/>
      </w:pPr>
      <w:r>
        <w:rPr>
          <w:rFonts w:ascii="Arial" w:cs="Arial" w:eastAsia="Arial" w:hAnsi="Arial"/>
          <w:color w:val="374151"/>
          <w:sz w:val="22"/>
          <w:szCs w:val="22"/>
        </w:rPr>
        <w:t xml:space="preserve">Renata IoT remains committed to the timelines and quality standards agreed in the project charter. Any material changes to scope, schedule, or budget will be escalated through the established change control process and require written approval from both parties' project sponsors.</w:t>
      </w:r>
    </w:p>
    <w:sectPr>
      <w:headerReference w:type="default" r:id="rId6"/>
      <w:footerReference w:type="default" r:id="rId7"/>
      <w:pgSz w:w="12240" w:h="15840" w:orient="portrait"/>
      <w:pgMar w:top="1440" w:right="1080" w:bottom="144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10080"/>
      </w:tabs>
      <w:spacing w:before="120"/>
    </w:pPr>
    <w:r>
      <w:rPr>
        <w:rFonts w:ascii="Arial" w:cs="Arial" w:eastAsia="Arial" w:hAnsi="Arial"/>
        <w:color w:val="94A3B8"/>
        <w:sz w:val="16"/>
        <w:szCs w:val="16"/>
      </w:rPr>
      <w:t xml:space="preserve">Version 1.0  |  March 2025</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10080"/>
      </w:tabs>
      <w:spacing w:after="120"/>
    </w:pPr>
    <w:r>
      <w:rPr>
        <w:rFonts w:ascii="Arial" w:cs="Arial" w:eastAsia="Arial" w:hAnsi="Arial"/>
        <w:b/>
        <w:bCs/>
        <w:color w:val="0D1B2A"/>
        <w:sz w:val="18"/>
        <w:szCs w:val="18"/>
      </w:rPr>
      <w:t xml:space="preserve">Smart Factory Automation — Project Report</w:t>
    </w:r>
    <w:r>
      <w:rPr>
        <w:rFonts w:ascii="Arial" w:cs="Arial" w:eastAsia="Arial" w:hAnsi="Arial"/>
        <w:color w:val="64748B"/>
        <w:sz w:val="18"/>
        <w:szCs w:val="18"/>
      </w:rPr>
      <w:t xml:space="preserve">	Renata IoT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2026-03-23T11:35:28.684Z</dcterms:created>
  <dcterms:modified xsi:type="dcterms:W3CDTF">2026-03-23T11:35:28.684Z</dcterms:modified>
</cp:coreProperties>
</file>

<file path=docProps/custom.xml><?xml version="1.0" encoding="utf-8"?>
<Properties xmlns="http://schemas.openxmlformats.org/officeDocument/2006/custom-properties" xmlns:vt="http://schemas.openxmlformats.org/officeDocument/2006/docPropsVTypes"/>
</file>