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68"/>
        </w:rPr>
        <w:t>HADES</w:t>
      </w:r>
    </w:p>
    <w:p>
      <w:pPr>
        <w:jc w:val="center"/>
      </w:pPr>
      <w:r>
        <w:rPr>
          <w:rFonts w:ascii="Aptos Display" w:hAnsi="Aptos Display"/>
          <w:b/>
          <w:color w:val="2F75B5"/>
          <w:sz w:val="36"/>
        </w:rPr>
        <w:t>Budgeted Evidence Acquisition for Cyber Threat Hunting Under Adversarial Telemetry</w:t>
      </w:r>
    </w:p>
    <w:p>
      <w:pPr>
        <w:jc w:val="center"/>
      </w:pPr>
      <w:r>
        <w:rPr>
          <w:color w:val="666666"/>
          <w:sz w:val="22"/>
        </w:rPr>
        <w:t>Research proposal, novelty audit, experimental protocol, and development roadmap</w:t>
      </w:r>
    </w:p>
    <w:tbl>
      <w:tblPr>
        <w:tblW w:type="auto" w:w="0"/>
        <w:jc w:val="center"/>
        <w:tblLook w:firstColumn="1" w:firstRow="1" w:lastColumn="0" w:lastRow="0" w:noHBand="0" w:noVBand="1" w:val="04A0"/>
      </w:tblPr>
      <w:tblGrid>
        <w:gridCol w:w="9994"/>
      </w:tblGrid>
      <w:tr>
        <w:trPr>
          <w:trHeight w:hRule="atLeast"/>
        </w:trPr>
        <w:tc>
          <w:tcPr>
            <w:tcW w:type="dxa" w:w="9994"/>
            <w:shd w:fill="EAF2F8"/>
            <w:tcMar>
              <w:top w:w="150" w:type="dxa"/>
              <w:start w:w="150" w:type="dxa"/>
              <w:bottom w:w="150" w:type="dxa"/>
              <w:end w:w="150" w:type="dxa"/>
            </w:tcMar>
            <w:vAlign w:val="center"/>
          </w:tcPr>
          <w:p>
            <w:pPr>
              <w:jc w:val="center"/>
            </w:pPr>
            <w:r>
              <w:rPr>
                <w:b/>
                <w:color w:val="17365D"/>
                <w:sz w:val="22"/>
              </w:rPr>
              <w:t>Working thesis</w:t>
              <w:br/>
            </w:r>
            <w:r>
              <w:rPr>
                <w:sz w:val="22"/>
              </w:rPr>
              <w:t>A cyber investigator should spend a finite investigation budget on the evidence that most reliably discriminates among competing attack hypotheses, rather than simply querying the most informative, cheapest, or most relevant source.</w:t>
            </w:r>
          </w:p>
        </w:tc>
      </w:tr>
    </w:tbl>
    <w:p/>
    <w:tbl>
      <w:tblPr>
        <w:tblW w:type="auto" w:w="0"/>
        <w:jc w:val="center"/>
        <w:tblLayout w:type="fixed"/>
        <w:tblLook w:firstColumn="1" w:firstRow="1" w:lastColumn="0" w:lastRow="0" w:noHBand="0" w:noVBand="1" w:val="04A0"/>
      </w:tblPr>
      <w:tblGrid>
        <w:gridCol w:w="2376"/>
        <w:gridCol w:w="6768"/>
      </w:tblGrid>
      <w:tr>
        <w:trPr>
          <w:trHeight w:hRule="atLeast"/>
        </w:trPr>
        <w:tc>
          <w:tcPr>
            <w:tcW w:type="dxa" w:w="4997"/>
            <w:shd w:fill="17365D"/>
            <w:tcMar>
              <w:top w:w="90" w:type="dxa"/>
              <w:start w:w="90" w:type="dxa"/>
              <w:bottom w:w="90" w:type="dxa"/>
              <w:end w:w="90" w:type="dxa"/>
            </w:tcMar>
            <w:vAlign w:val="center"/>
          </w:tcPr>
          <w:p>
            <w:r>
              <w:rPr>
                <w:b/>
                <w:color w:val="FFFFFF"/>
                <w:sz w:val="19"/>
              </w:rPr>
              <w:t>Researcher</w:t>
            </w:r>
          </w:p>
        </w:tc>
        <w:tc>
          <w:tcPr>
            <w:tcW w:type="dxa" w:w="4997"/>
            <w:shd w:fill="F5F8FB"/>
            <w:tcMar>
              <w:top w:w="90" w:type="dxa"/>
              <w:start w:w="90" w:type="dxa"/>
              <w:bottom w:w="90" w:type="dxa"/>
              <w:end w:w="90" w:type="dxa"/>
            </w:tcMar>
            <w:vAlign w:val="center"/>
          </w:tcPr>
          <w:p>
            <w:r>
              <w:rPr>
                <w:sz w:val="19"/>
              </w:rPr>
              <w:t>Aakash G.S.</w:t>
            </w:r>
          </w:p>
        </w:tc>
      </w:tr>
      <w:tr>
        <w:trPr>
          <w:trHeight w:hRule="atLeast"/>
        </w:trPr>
        <w:tc>
          <w:tcPr>
            <w:tcW w:type="dxa" w:w="4997"/>
            <w:shd w:fill="17365D"/>
            <w:tcMar>
              <w:top w:w="90" w:type="dxa"/>
              <w:start w:w="90" w:type="dxa"/>
              <w:bottom w:w="90" w:type="dxa"/>
              <w:end w:w="90" w:type="dxa"/>
            </w:tcMar>
            <w:vAlign w:val="center"/>
          </w:tcPr>
          <w:p>
            <w:r>
              <w:rPr>
                <w:b/>
                <w:color w:val="FFFFFF"/>
                <w:sz w:val="19"/>
              </w:rPr>
              <w:t>Target profile</w:t>
            </w:r>
          </w:p>
        </w:tc>
        <w:tc>
          <w:tcPr>
            <w:tcW w:type="dxa" w:w="4997"/>
            <w:shd w:fill="F5F8FB"/>
            <w:tcMar>
              <w:top w:w="90" w:type="dxa"/>
              <w:start w:w="90" w:type="dxa"/>
              <w:bottom w:w="90" w:type="dxa"/>
              <w:end w:w="90" w:type="dxa"/>
            </w:tcMar>
            <w:vAlign w:val="center"/>
          </w:tcPr>
          <w:p>
            <w:r>
              <w:rPr>
                <w:sz w:val="19"/>
              </w:rPr>
              <w:t>TUM / TU Darmstadt / KIT / security-focused MNC roles</w:t>
            </w:r>
          </w:p>
        </w:tc>
      </w:tr>
      <w:tr>
        <w:trPr>
          <w:trHeight w:hRule="atLeast"/>
        </w:trPr>
        <w:tc>
          <w:tcPr>
            <w:tcW w:type="dxa" w:w="4997"/>
            <w:shd w:fill="17365D"/>
            <w:tcMar>
              <w:top w:w="90" w:type="dxa"/>
              <w:start w:w="90" w:type="dxa"/>
              <w:bottom w:w="90" w:type="dxa"/>
              <w:end w:w="90" w:type="dxa"/>
            </w:tcMar>
            <w:vAlign w:val="center"/>
          </w:tcPr>
          <w:p>
            <w:r>
              <w:rPr>
                <w:b/>
                <w:color w:val="FFFFFF"/>
                <w:sz w:val="19"/>
              </w:rPr>
              <w:t>Target outcome</w:t>
            </w:r>
          </w:p>
        </w:tc>
        <w:tc>
          <w:tcPr>
            <w:tcW w:type="dxa" w:w="4997"/>
            <w:shd w:fill="F5F8FB"/>
            <w:tcMar>
              <w:top w:w="90" w:type="dxa"/>
              <w:start w:w="90" w:type="dxa"/>
              <w:bottom w:w="90" w:type="dxa"/>
              <w:end w:w="90" w:type="dxa"/>
            </w:tcMar>
            <w:vAlign w:val="center"/>
          </w:tcPr>
          <w:p>
            <w:r>
              <w:rPr>
                <w:sz w:val="19"/>
              </w:rPr>
              <w:t>A defensible IEEE-style research contribution with reproducible artifacts</w:t>
            </w:r>
          </w:p>
        </w:tc>
      </w:tr>
      <w:tr>
        <w:trPr>
          <w:trHeight w:hRule="atLeast"/>
        </w:trPr>
        <w:tc>
          <w:tcPr>
            <w:tcW w:type="dxa" w:w="4997"/>
            <w:shd w:fill="17365D"/>
            <w:tcMar>
              <w:top w:w="90" w:type="dxa"/>
              <w:start w:w="90" w:type="dxa"/>
              <w:bottom w:w="90" w:type="dxa"/>
              <w:end w:w="90" w:type="dxa"/>
            </w:tcMar>
            <w:vAlign w:val="center"/>
          </w:tcPr>
          <w:p>
            <w:r>
              <w:rPr>
                <w:b/>
                <w:color w:val="FFFFFF"/>
                <w:sz w:val="19"/>
              </w:rPr>
              <w:t>Status</w:t>
            </w:r>
          </w:p>
        </w:tc>
        <w:tc>
          <w:tcPr>
            <w:tcW w:type="dxa" w:w="4997"/>
            <w:shd w:fill="F5F8FB"/>
            <w:tcMar>
              <w:top w:w="90" w:type="dxa"/>
              <w:start w:w="90" w:type="dxa"/>
              <w:bottom w:w="90" w:type="dxa"/>
              <w:end w:w="90" w:type="dxa"/>
            </w:tcMar>
            <w:vAlign w:val="center"/>
          </w:tcPr>
          <w:p>
            <w:r>
              <w:rPr>
                <w:sz w:val="19"/>
              </w:rPr>
              <w:t>Working candidate — proceed to implementation only through the defined go/no-go gates</w:t>
            </w:r>
          </w:p>
        </w:tc>
      </w:tr>
    </w:tbl>
    <w:p>
      <w:pPr>
        <w:pStyle w:val="Small"/>
        <w:jc w:val="center"/>
      </w:pPr>
      <w:r>
        <w:t>Literature status in this document reflects the web audit performed on 04 September 2026. “Novel” is used only as a provisional research-gap assessment, never as an acceptance guarantee.</w:t>
      </w:r>
    </w:p>
    <w:p>
      <w:r>
        <w:br w:type="page"/>
      </w:r>
    </w:p>
    <w:p>
      <w:pPr>
        <w:pStyle w:val="Heading1"/>
      </w:pPr>
      <w:r>
        <w:t>Executive Summary</w:t>
      </w:r>
    </w:p>
    <w:p>
      <w:r>
        <w:rPr>
          <w:b/>
        </w:rPr>
        <w:t xml:space="preserve">HADES is the current flagship research candidate after a deliberately adversarial idea-selection process. </w:t>
      </w:r>
      <w:r>
        <w:t>The original candidate set included Kubernetes attack-path scoring, TinyML IDS, post-quantum TLS benchmarking, prompt-injection defenses, cybersecurity-agent authorization, malware concept drift, NIDS benchmark validity, security-control interaction, cross-sensor disagreement, and temporal evidence decay. Each was rejected as the flagship when recent literature or deployed systems showed that the proposed central contribution was already substantially occupied.</w:t>
      </w:r>
    </w:p>
    <w:p>
      <w:r>
        <w:rPr>
          <w:b/>
        </w:rPr>
        <w:t xml:space="preserve">HADES is different in one crucial way: </w:t>
      </w:r>
      <w:r>
        <w:t>its research object is not a fashionable technology. It is an operational decision problem: how a threat hunter should allocate a finite evidence-acquisition budget when several attack hypotheses are plausible and available telemetry differs in cost, reliability, and susceptibility to manipulation.</w:t>
      </w:r>
    </w:p>
    <w:tbl>
      <w:tblPr>
        <w:tblStyle w:val="TableGrid"/>
        <w:tblW w:type="auto" w:w="0"/>
        <w:jc w:val="center"/>
        <w:tblLook w:firstColumn="1" w:firstRow="1" w:lastColumn="0" w:lastRow="0" w:noHBand="0" w:noVBand="1" w:val="04A0"/>
      </w:tblPr>
      <w:tblGrid>
        <w:gridCol w:w="3331"/>
        <w:gridCol w:w="3331"/>
        <w:gridCol w:w="3331"/>
      </w:tblGrid>
      <w:tr>
        <w:trPr>
          <w:trHeight w:hRule="atLeast"/>
          <w:tblHeader w:val="true"/>
        </w:trPr>
        <w:tc>
          <w:tcPr>
            <w:tcW w:type="dxa" w:w="3331"/>
            <w:shd w:fill="17365D"/>
            <w:tcMar>
              <w:top w:w="90" w:type="dxa"/>
              <w:start w:w="90" w:type="dxa"/>
              <w:bottom w:w="90" w:type="dxa"/>
              <w:end w:w="90" w:type="dxa"/>
            </w:tcMar>
            <w:vAlign w:val="center"/>
          </w:tcPr>
          <w:p>
            <w:r>
              <w:rPr>
                <w:b/>
                <w:color w:val="FFFFFF"/>
                <w:sz w:val="18"/>
              </w:rPr>
              <w:t>Decision</w:t>
            </w:r>
          </w:p>
        </w:tc>
        <w:tc>
          <w:tcPr>
            <w:tcW w:type="dxa" w:w="3331"/>
            <w:shd w:fill="17365D"/>
            <w:tcMar>
              <w:top w:w="90" w:type="dxa"/>
              <w:start w:w="90" w:type="dxa"/>
              <w:bottom w:w="90" w:type="dxa"/>
              <w:end w:w="90" w:type="dxa"/>
            </w:tcMar>
            <w:vAlign w:val="center"/>
          </w:tcPr>
          <w:p>
            <w:r>
              <w:rPr>
                <w:b/>
                <w:color w:val="FFFFFF"/>
                <w:sz w:val="18"/>
              </w:rPr>
              <w:t>Current answer</w:t>
            </w:r>
          </w:p>
        </w:tc>
        <w:tc>
          <w:tcPr>
            <w:tcW w:type="dxa" w:w="3331"/>
            <w:shd w:fill="17365D"/>
            <w:tcMar>
              <w:top w:w="90" w:type="dxa"/>
              <w:start w:w="90" w:type="dxa"/>
              <w:bottom w:w="90" w:type="dxa"/>
              <w:end w:w="90" w:type="dxa"/>
            </w:tcMar>
            <w:vAlign w:val="center"/>
          </w:tcPr>
          <w:p>
            <w:r>
              <w:rPr>
                <w:b/>
                <w:color w:val="FFFFFF"/>
                <w:sz w:val="18"/>
              </w:rPr>
              <w:t>Confidence</w:t>
            </w:r>
          </w:p>
        </w:tc>
      </w:tr>
      <w:tr>
        <w:trPr>
          <w:trHeight w:hRule="atLeast"/>
        </w:trPr>
        <w:tc>
          <w:tcPr>
            <w:tcW w:type="dxa" w:w="3331"/>
            <w:tcMar>
              <w:top w:w="90" w:type="dxa"/>
              <w:start w:w="90" w:type="dxa"/>
              <w:bottom w:w="90" w:type="dxa"/>
              <w:end w:w="90" w:type="dxa"/>
            </w:tcMar>
            <w:vAlign w:val="center"/>
          </w:tcPr>
          <w:p>
            <w:r>
              <w:rPr>
                <w:sz w:val="18"/>
              </w:rPr>
              <w:t>Is HADES a new topic?</w:t>
            </w:r>
          </w:p>
        </w:tc>
        <w:tc>
          <w:tcPr>
            <w:tcW w:type="dxa" w:w="3331"/>
            <w:tcMar>
              <w:top w:w="90" w:type="dxa"/>
              <w:start w:w="90" w:type="dxa"/>
              <w:bottom w:w="90" w:type="dxa"/>
              <w:end w:w="90" w:type="dxa"/>
            </w:tcMar>
            <w:vAlign w:val="center"/>
          </w:tcPr>
          <w:p>
            <w:r>
              <w:rPr>
                <w:sz w:val="18"/>
              </w:rPr>
              <w:t>No. Its building blocks already exist.</w:t>
            </w:r>
          </w:p>
        </w:tc>
        <w:tc>
          <w:tcPr>
            <w:tcW w:type="dxa" w:w="3331"/>
            <w:tcMar>
              <w:top w:w="90" w:type="dxa"/>
              <w:start w:w="90" w:type="dxa"/>
              <w:bottom w:w="90" w:type="dxa"/>
              <w:end w:w="90" w:type="dxa"/>
            </w:tcMar>
            <w:shd w:fill="E2F0D9"/>
            <w:vAlign w:val="center"/>
          </w:tcPr>
          <w:p>
            <w:r>
              <w:rPr>
                <w:sz w:val="18"/>
              </w:rPr>
              <w:t>High</w:t>
            </w:r>
          </w:p>
        </w:tc>
      </w:tr>
      <w:tr>
        <w:trPr>
          <w:trHeight w:hRule="atLeast"/>
        </w:trPr>
        <w:tc>
          <w:tcPr>
            <w:tcW w:type="dxa" w:w="3331"/>
            <w:tcMar>
              <w:top w:w="90" w:type="dxa"/>
              <w:start w:w="90" w:type="dxa"/>
              <w:bottom w:w="90" w:type="dxa"/>
              <w:end w:w="90" w:type="dxa"/>
            </w:tcMar>
            <w:vAlign w:val="center"/>
          </w:tcPr>
          <w:p>
            <w:r>
              <w:rPr>
                <w:sz w:val="18"/>
              </w:rPr>
              <w:t>Is the precise research formulation plausibly open?</w:t>
            </w:r>
          </w:p>
        </w:tc>
        <w:tc>
          <w:tcPr>
            <w:tcW w:type="dxa" w:w="3331"/>
            <w:tcMar>
              <w:top w:w="90" w:type="dxa"/>
              <w:start w:w="90" w:type="dxa"/>
              <w:bottom w:w="90" w:type="dxa"/>
              <w:end w:w="90" w:type="dxa"/>
            </w:tcMar>
            <w:vAlign w:val="center"/>
          </w:tcPr>
          <w:p>
            <w:r>
              <w:rPr>
                <w:sz w:val="18"/>
              </w:rPr>
              <w:t>Yes, provisionally.</w:t>
            </w:r>
          </w:p>
        </w:tc>
        <w:tc>
          <w:tcPr>
            <w:tcW w:type="dxa" w:w="3331"/>
            <w:tcMar>
              <w:top w:w="90" w:type="dxa"/>
              <w:start w:w="90" w:type="dxa"/>
              <w:bottom w:w="90" w:type="dxa"/>
              <w:end w:w="90" w:type="dxa"/>
            </w:tcMar>
            <w:shd w:fill="FFF2CC"/>
            <w:vAlign w:val="center"/>
          </w:tcPr>
          <w:p>
            <w:r>
              <w:rPr>
                <w:sz w:val="18"/>
              </w:rPr>
              <w:t>Medium</w:t>
            </w:r>
          </w:p>
        </w:tc>
      </w:tr>
      <w:tr>
        <w:trPr>
          <w:trHeight w:hRule="atLeast"/>
        </w:trPr>
        <w:tc>
          <w:tcPr>
            <w:tcW w:type="dxa" w:w="3331"/>
            <w:tcMar>
              <w:top w:w="90" w:type="dxa"/>
              <w:start w:w="90" w:type="dxa"/>
              <w:bottom w:w="90" w:type="dxa"/>
              <w:end w:w="90" w:type="dxa"/>
            </w:tcMar>
            <w:vAlign w:val="center"/>
          </w:tcPr>
          <w:p>
            <w:r>
              <w:rPr>
                <w:sz w:val="18"/>
              </w:rPr>
              <w:t>Can the mechanism change the optimal next query?</w:t>
            </w:r>
          </w:p>
        </w:tc>
        <w:tc>
          <w:tcPr>
            <w:tcW w:type="dxa" w:w="3331"/>
            <w:tcMar>
              <w:top w:w="90" w:type="dxa"/>
              <w:start w:w="90" w:type="dxa"/>
              <w:bottom w:w="90" w:type="dxa"/>
              <w:end w:w="90" w:type="dxa"/>
            </w:tcMar>
            <w:vAlign w:val="center"/>
          </w:tcPr>
          <w:p>
            <w:r>
              <w:rPr>
                <w:sz w:val="18"/>
              </w:rPr>
              <w:t>Yes, in controlled examples where reliability changes the ranking.</w:t>
            </w:r>
          </w:p>
        </w:tc>
        <w:tc>
          <w:tcPr>
            <w:tcW w:type="dxa" w:w="3331"/>
            <w:tcMar>
              <w:top w:w="90" w:type="dxa"/>
              <w:start w:w="90" w:type="dxa"/>
              <w:bottom w:w="90" w:type="dxa"/>
              <w:end w:w="90" w:type="dxa"/>
            </w:tcMar>
            <w:shd w:fill="E2F0D9"/>
            <w:vAlign w:val="center"/>
          </w:tcPr>
          <w:p>
            <w:r>
              <w:rPr>
                <w:sz w:val="18"/>
              </w:rPr>
              <w:t>High</w:t>
            </w:r>
          </w:p>
        </w:tc>
      </w:tr>
      <w:tr>
        <w:trPr>
          <w:trHeight w:hRule="atLeast"/>
        </w:trPr>
        <w:tc>
          <w:tcPr>
            <w:tcW w:type="dxa" w:w="3331"/>
            <w:tcMar>
              <w:top w:w="90" w:type="dxa"/>
              <w:start w:w="90" w:type="dxa"/>
              <w:bottom w:w="90" w:type="dxa"/>
              <w:end w:w="90" w:type="dxa"/>
            </w:tcMar>
            <w:vAlign w:val="center"/>
          </w:tcPr>
          <w:p>
            <w:r>
              <w:rPr>
                <w:sz w:val="18"/>
              </w:rPr>
              <w:t>Has HADES yet been shown to improve real cyber investigation?</w:t>
            </w:r>
          </w:p>
        </w:tc>
        <w:tc>
          <w:tcPr>
            <w:tcW w:type="dxa" w:w="3331"/>
            <w:tcMar>
              <w:top w:w="90" w:type="dxa"/>
              <w:start w:w="90" w:type="dxa"/>
              <w:bottom w:w="90" w:type="dxa"/>
              <w:end w:w="90" w:type="dxa"/>
            </w:tcMar>
            <w:vAlign w:val="center"/>
          </w:tcPr>
          <w:p>
            <w:r>
              <w:rPr>
                <w:sz w:val="18"/>
              </w:rPr>
              <w:t>No. That is the primary experimental claim to test.</w:t>
            </w:r>
          </w:p>
        </w:tc>
        <w:tc>
          <w:tcPr>
            <w:tcW w:type="dxa" w:w="3331"/>
            <w:tcMar>
              <w:top w:w="90" w:type="dxa"/>
              <w:start w:w="90" w:type="dxa"/>
              <w:bottom w:w="90" w:type="dxa"/>
              <w:end w:w="90" w:type="dxa"/>
            </w:tcMar>
            <w:shd w:fill="E2F0D9"/>
            <w:vAlign w:val="center"/>
          </w:tcPr>
          <w:p>
            <w:r>
              <w:rPr>
                <w:sz w:val="18"/>
              </w:rPr>
              <w:t>High</w:t>
            </w:r>
          </w:p>
        </w:tc>
      </w:tr>
      <w:tr>
        <w:trPr>
          <w:trHeight w:hRule="atLeast"/>
        </w:trPr>
        <w:tc>
          <w:tcPr>
            <w:tcW w:type="dxa" w:w="3331"/>
            <w:tcMar>
              <w:top w:w="90" w:type="dxa"/>
              <w:start w:w="90" w:type="dxa"/>
              <w:bottom w:w="90" w:type="dxa"/>
              <w:end w:w="90" w:type="dxa"/>
            </w:tcMar>
            <w:vAlign w:val="center"/>
          </w:tcPr>
          <w:p>
            <w:r>
              <w:rPr>
                <w:sz w:val="18"/>
              </w:rPr>
              <w:t>Should we build it?</w:t>
            </w:r>
          </w:p>
        </w:tc>
        <w:tc>
          <w:tcPr>
            <w:tcW w:type="dxa" w:w="3331"/>
            <w:tcMar>
              <w:top w:w="90" w:type="dxa"/>
              <w:start w:w="90" w:type="dxa"/>
              <w:bottom w:w="90" w:type="dxa"/>
              <w:end w:w="90" w:type="dxa"/>
            </w:tcMar>
            <w:vAlign w:val="center"/>
          </w:tcPr>
          <w:p>
            <w:r>
              <w:rPr>
                <w:sz w:val="18"/>
              </w:rPr>
              <w:t>Yes, through a small simulator first, then CDB.</w:t>
            </w:r>
          </w:p>
        </w:tc>
        <w:tc>
          <w:tcPr>
            <w:tcW w:type="dxa" w:w="3331"/>
            <w:tcMar>
              <w:top w:w="90" w:type="dxa"/>
              <w:start w:w="90" w:type="dxa"/>
              <w:bottom w:w="90" w:type="dxa"/>
              <w:end w:w="90" w:type="dxa"/>
            </w:tcMar>
            <w:shd w:fill="E2F0D9"/>
            <w:vAlign w:val="center"/>
          </w:tcPr>
          <w:p>
            <w:r>
              <w:rPr>
                <w:sz w:val="18"/>
              </w:rPr>
              <w:t>High</w:t>
            </w:r>
          </w:p>
        </w:tc>
      </w:tr>
    </w:tbl>
    <w:p>
      <w:pPr>
        <w:pStyle w:val="Heading1"/>
      </w:pPr>
      <w:r>
        <w:t>1. Why the Previous Candidates Were Killed</w:t>
      </w:r>
    </w:p>
    <w:p>
      <w:r>
        <w:t>The selection process intentionally used a “load-bearing” literature test: identify the central contribution, search recent work, find the closest prior art, and ask whether a reviewer could reasonably describe the proposal as an incremental combination of existing ideas.</w:t>
      </w:r>
    </w:p>
    <w:tbl>
      <w:tblPr>
        <w:tblStyle w:val="TableGrid"/>
        <w:tblW w:type="auto" w:w="0"/>
        <w:jc w:val="center"/>
        <w:tblLook w:firstColumn="1" w:firstRow="1" w:lastColumn="0" w:lastRow="0" w:noHBand="0" w:noVBand="1" w:val="04A0"/>
      </w:tblPr>
      <w:tblGrid>
        <w:gridCol w:w="2498"/>
        <w:gridCol w:w="2498"/>
        <w:gridCol w:w="2498"/>
        <w:gridCol w:w="2498"/>
      </w:tblGrid>
      <w:tr>
        <w:trPr>
          <w:trHeight w:hRule="atLeast"/>
          <w:tblHeader w:val="true"/>
        </w:trPr>
        <w:tc>
          <w:tcPr>
            <w:tcW w:type="dxa" w:w="2498"/>
            <w:shd w:fill="17365D"/>
            <w:tcMar>
              <w:top w:w="90" w:type="dxa"/>
              <w:start w:w="90" w:type="dxa"/>
              <w:bottom w:w="90" w:type="dxa"/>
              <w:end w:w="90" w:type="dxa"/>
            </w:tcMar>
            <w:vAlign w:val="center"/>
          </w:tcPr>
          <w:p>
            <w:r>
              <w:rPr>
                <w:b/>
                <w:color w:val="FFFFFF"/>
                <w:sz w:val="17"/>
              </w:rPr>
              <w:t>Candidate</w:t>
            </w:r>
          </w:p>
        </w:tc>
        <w:tc>
          <w:tcPr>
            <w:tcW w:type="dxa" w:w="2498"/>
            <w:shd w:fill="17365D"/>
            <w:tcMar>
              <w:top w:w="90" w:type="dxa"/>
              <w:start w:w="90" w:type="dxa"/>
              <w:bottom w:w="90" w:type="dxa"/>
              <w:end w:w="90" w:type="dxa"/>
            </w:tcMar>
            <w:vAlign w:val="center"/>
          </w:tcPr>
          <w:p>
            <w:r>
              <w:rPr>
                <w:b/>
                <w:color w:val="FFFFFF"/>
                <w:sz w:val="17"/>
              </w:rPr>
              <w:t>What looked strong</w:t>
            </w:r>
          </w:p>
        </w:tc>
        <w:tc>
          <w:tcPr>
            <w:tcW w:type="dxa" w:w="2498"/>
            <w:shd w:fill="17365D"/>
            <w:tcMar>
              <w:top w:w="90" w:type="dxa"/>
              <w:start w:w="90" w:type="dxa"/>
              <w:bottom w:w="90" w:type="dxa"/>
              <w:end w:w="90" w:type="dxa"/>
            </w:tcMar>
            <w:vAlign w:val="center"/>
          </w:tcPr>
          <w:p>
            <w:r>
              <w:rPr>
                <w:b/>
                <w:color w:val="FFFFFF"/>
                <w:sz w:val="17"/>
              </w:rPr>
              <w:t>Load-bearing overlap</w:t>
            </w:r>
          </w:p>
        </w:tc>
        <w:tc>
          <w:tcPr>
            <w:tcW w:type="dxa" w:w="2498"/>
            <w:shd w:fill="17365D"/>
            <w:tcMar>
              <w:top w:w="90" w:type="dxa"/>
              <w:start w:w="90" w:type="dxa"/>
              <w:bottom w:w="90" w:type="dxa"/>
              <w:end w:w="90" w:type="dxa"/>
            </w:tcMar>
            <w:vAlign w:val="center"/>
          </w:tcPr>
          <w:p>
            <w:r>
              <w:rPr>
                <w:b/>
                <w:color w:val="FFFFFF"/>
                <w:sz w:val="17"/>
              </w:rPr>
              <w:t>Decision</w:t>
            </w:r>
          </w:p>
        </w:tc>
      </w:tr>
      <w:tr>
        <w:trPr>
          <w:trHeight w:hRule="atLeast"/>
        </w:trPr>
        <w:tc>
          <w:tcPr>
            <w:tcW w:type="dxa" w:w="2498"/>
            <w:tcMar>
              <w:top w:w="90" w:type="dxa"/>
              <w:start w:w="90" w:type="dxa"/>
              <w:bottom w:w="90" w:type="dxa"/>
              <w:end w:w="90" w:type="dxa"/>
            </w:tcMar>
            <w:vAlign w:val="center"/>
          </w:tcPr>
          <w:p>
            <w:r>
              <w:rPr>
                <w:sz w:val="16"/>
              </w:rPr>
              <w:t>Kubernetes attack-path risk scoring</w:t>
            </w:r>
          </w:p>
        </w:tc>
        <w:tc>
          <w:tcPr>
            <w:tcW w:type="dxa" w:w="2498"/>
            <w:tcMar>
              <w:top w:w="90" w:type="dxa"/>
              <w:start w:w="90" w:type="dxa"/>
              <w:bottom w:w="90" w:type="dxa"/>
              <w:end w:w="90" w:type="dxa"/>
            </w:tcMar>
            <w:vAlign w:val="center"/>
          </w:tcPr>
          <w:p>
            <w:r>
              <w:rPr>
                <w:sz w:val="16"/>
              </w:rPr>
              <w:t>Cloud-native security + graphs + explainability</w:t>
            </w:r>
          </w:p>
        </w:tc>
        <w:tc>
          <w:tcPr>
            <w:tcW w:type="dxa" w:w="2498"/>
            <w:tcMar>
              <w:top w:w="90" w:type="dxa"/>
              <w:start w:w="90" w:type="dxa"/>
              <w:bottom w:w="90" w:type="dxa"/>
              <w:end w:w="90" w:type="dxa"/>
            </w:tcMar>
            <w:vAlign w:val="center"/>
          </w:tcPr>
          <w:p>
            <w:r>
              <w:rPr>
                <w:sz w:val="16"/>
              </w:rPr>
              <w:t>Stay at the Helm; KubeHound; CORAL; EPScan; ThreatCompute; Microsoft/BloodHound-Kube-era tooling</w:t>
            </w:r>
          </w:p>
        </w:tc>
        <w:tc>
          <w:tcPr>
            <w:tcW w:type="dxa" w:w="2498"/>
            <w:tcMar>
              <w:top w:w="90" w:type="dxa"/>
              <w:start w:w="90" w:type="dxa"/>
              <w:bottom w:w="90" w:type="dxa"/>
              <w:end w:w="90" w:type="dxa"/>
            </w:tcMar>
            <w:shd w:fill="FCE4D6"/>
            <w:vAlign w:val="center"/>
          </w:tcPr>
          <w:p>
            <w:r>
              <w:rPr>
                <w:sz w:val="16"/>
              </w:rPr>
              <w:t>Kill as flagship</w:t>
            </w:r>
          </w:p>
        </w:tc>
      </w:tr>
      <w:tr>
        <w:trPr>
          <w:trHeight w:hRule="atLeast"/>
        </w:trPr>
        <w:tc>
          <w:tcPr>
            <w:tcW w:type="dxa" w:w="2498"/>
            <w:tcMar>
              <w:top w:w="90" w:type="dxa"/>
              <w:start w:w="90" w:type="dxa"/>
              <w:bottom w:w="90" w:type="dxa"/>
              <w:end w:w="90" w:type="dxa"/>
            </w:tcMar>
            <w:vAlign w:val="center"/>
          </w:tcPr>
          <w:p>
            <w:r>
              <w:rPr>
                <w:sz w:val="16"/>
              </w:rPr>
              <w:t>TinyIDS / adversarial edge IDS</w:t>
            </w:r>
          </w:p>
        </w:tc>
        <w:tc>
          <w:tcPr>
            <w:tcW w:type="dxa" w:w="2498"/>
            <w:tcMar>
              <w:top w:w="90" w:type="dxa"/>
              <w:start w:w="90" w:type="dxa"/>
              <w:bottom w:w="90" w:type="dxa"/>
              <w:end w:w="90" w:type="dxa"/>
            </w:tcMar>
            <w:vAlign w:val="center"/>
          </w:tcPr>
          <w:p>
            <w:r>
              <w:rPr>
                <w:sz w:val="16"/>
              </w:rPr>
              <w:t>Networking + ML + edge + robustness</w:t>
            </w:r>
          </w:p>
        </w:tc>
        <w:tc>
          <w:tcPr>
            <w:tcW w:type="dxa" w:w="2498"/>
            <w:tcMar>
              <w:top w:w="90" w:type="dxa"/>
              <w:start w:w="90" w:type="dxa"/>
              <w:bottom w:w="90" w:type="dxa"/>
              <w:end w:w="90" w:type="dxa"/>
            </w:tcMar>
            <w:vAlign w:val="center"/>
          </w:tcPr>
          <w:p>
            <w:r>
              <w:rPr>
                <w:sz w:val="16"/>
              </w:rPr>
              <w:t>TinyML IDS, energy-aware IDS, concept drift, adversarial IDS, and recent multi-factor evaluations already cover the core dimensions</w:t>
            </w:r>
          </w:p>
        </w:tc>
        <w:tc>
          <w:tcPr>
            <w:tcW w:type="dxa" w:w="2498"/>
            <w:tcMar>
              <w:top w:w="90" w:type="dxa"/>
              <w:start w:w="90" w:type="dxa"/>
              <w:bottom w:w="90" w:type="dxa"/>
              <w:end w:w="90" w:type="dxa"/>
            </w:tcMar>
            <w:shd w:fill="FCE4D6"/>
            <w:vAlign w:val="center"/>
          </w:tcPr>
          <w:p>
            <w:r>
              <w:rPr>
                <w:sz w:val="16"/>
              </w:rPr>
              <w:t>Kill as flagship</w:t>
            </w:r>
          </w:p>
        </w:tc>
      </w:tr>
      <w:tr>
        <w:trPr>
          <w:trHeight w:hRule="atLeast"/>
        </w:trPr>
        <w:tc>
          <w:tcPr>
            <w:tcW w:type="dxa" w:w="2498"/>
            <w:tcMar>
              <w:top w:w="90" w:type="dxa"/>
              <w:start w:w="90" w:type="dxa"/>
              <w:bottom w:w="90" w:type="dxa"/>
              <w:end w:w="90" w:type="dxa"/>
            </w:tcMar>
            <w:vAlign w:val="center"/>
          </w:tcPr>
          <w:p>
            <w:r>
              <w:rPr>
                <w:sz w:val="16"/>
              </w:rPr>
              <w:t>PQC-TLS performance</w:t>
            </w:r>
          </w:p>
        </w:tc>
        <w:tc>
          <w:tcPr>
            <w:tcW w:type="dxa" w:w="2498"/>
            <w:tcMar>
              <w:top w:w="90" w:type="dxa"/>
              <w:start w:w="90" w:type="dxa"/>
              <w:bottom w:w="90" w:type="dxa"/>
              <w:end w:w="90" w:type="dxa"/>
            </w:tcMar>
            <w:vAlign w:val="center"/>
          </w:tcPr>
          <w:p>
            <w:r>
              <w:rPr>
                <w:sz w:val="16"/>
              </w:rPr>
              <w:t>Timely cryptography + systems measurement</w:t>
            </w:r>
          </w:p>
        </w:tc>
        <w:tc>
          <w:tcPr>
            <w:tcW w:type="dxa" w:w="2498"/>
            <w:tcMar>
              <w:top w:w="90" w:type="dxa"/>
              <w:start w:w="90" w:type="dxa"/>
              <w:bottom w:w="90" w:type="dxa"/>
              <w:end w:w="90" w:type="dxa"/>
            </w:tcMar>
            <w:vAlign w:val="center"/>
          </w:tcPr>
          <w:p>
            <w:r>
              <w:rPr>
                <w:sz w:val="16"/>
              </w:rPr>
              <w:t>2025–2026 work already measures hybrid ML-KEM TLS, loss/latency, ARM/RPi, resumption and realistic networks</w:t>
            </w:r>
          </w:p>
        </w:tc>
        <w:tc>
          <w:tcPr>
            <w:tcW w:type="dxa" w:w="2498"/>
            <w:tcMar>
              <w:top w:w="90" w:type="dxa"/>
              <w:start w:w="90" w:type="dxa"/>
              <w:bottom w:w="90" w:type="dxa"/>
              <w:end w:w="90" w:type="dxa"/>
            </w:tcMar>
            <w:shd w:fill="FCE4D6"/>
            <w:vAlign w:val="center"/>
          </w:tcPr>
          <w:p>
            <w:r>
              <w:rPr>
                <w:sz w:val="16"/>
              </w:rPr>
              <w:t>Kill performance version</w:t>
            </w:r>
          </w:p>
        </w:tc>
      </w:tr>
      <w:tr>
        <w:trPr>
          <w:trHeight w:hRule="atLeast"/>
        </w:trPr>
        <w:tc>
          <w:tcPr>
            <w:tcW w:type="dxa" w:w="2498"/>
            <w:tcMar>
              <w:top w:w="90" w:type="dxa"/>
              <w:start w:w="90" w:type="dxa"/>
              <w:bottom w:w="90" w:type="dxa"/>
              <w:end w:w="90" w:type="dxa"/>
            </w:tcMar>
            <w:vAlign w:val="center"/>
          </w:tcPr>
          <w:p>
            <w:r>
              <w:rPr>
                <w:sz w:val="16"/>
              </w:rPr>
              <w:t>Prompt injection / GuardRAG</w:t>
            </w:r>
          </w:p>
        </w:tc>
        <w:tc>
          <w:tcPr>
            <w:tcW w:type="dxa" w:w="2498"/>
            <w:tcMar>
              <w:top w:w="90" w:type="dxa"/>
              <w:start w:w="90" w:type="dxa"/>
              <w:bottom w:w="90" w:type="dxa"/>
              <w:end w:w="90" w:type="dxa"/>
            </w:tcMar>
            <w:vAlign w:val="center"/>
          </w:tcPr>
          <w:p>
            <w:r>
              <w:rPr>
                <w:sz w:val="16"/>
              </w:rPr>
              <w:t>AI security + current industry relevance</w:t>
            </w:r>
          </w:p>
        </w:tc>
        <w:tc>
          <w:tcPr>
            <w:tcW w:type="dxa" w:w="2498"/>
            <w:tcMar>
              <w:top w:w="90" w:type="dxa"/>
              <w:start w:w="90" w:type="dxa"/>
              <w:bottom w:w="90" w:type="dxa"/>
              <w:end w:w="90" w:type="dxa"/>
            </w:tcMar>
            <w:vAlign w:val="center"/>
          </w:tcPr>
          <w:p>
            <w:r>
              <w:rPr>
                <w:sz w:val="16"/>
              </w:rPr>
              <w:t>AgentDojo, ASB, adaptive attacks, multiple defenses and 2026 security/utility benchmarks</w:t>
            </w:r>
          </w:p>
        </w:tc>
        <w:tc>
          <w:tcPr>
            <w:tcW w:type="dxa" w:w="2498"/>
            <w:tcMar>
              <w:top w:w="90" w:type="dxa"/>
              <w:start w:w="90" w:type="dxa"/>
              <w:bottom w:w="90" w:type="dxa"/>
              <w:end w:w="90" w:type="dxa"/>
            </w:tcMar>
            <w:shd w:fill="FCE4D6"/>
            <w:vAlign w:val="center"/>
          </w:tcPr>
          <w:p>
            <w:r>
              <w:rPr>
                <w:sz w:val="16"/>
              </w:rPr>
              <w:t>Kill generic version</w:t>
            </w:r>
          </w:p>
        </w:tc>
      </w:tr>
      <w:tr>
        <w:trPr>
          <w:trHeight w:hRule="atLeast"/>
        </w:trPr>
        <w:tc>
          <w:tcPr>
            <w:tcW w:type="dxa" w:w="2498"/>
            <w:tcMar>
              <w:top w:w="90" w:type="dxa"/>
              <w:start w:w="90" w:type="dxa"/>
              <w:bottom w:w="90" w:type="dxa"/>
              <w:end w:w="90" w:type="dxa"/>
            </w:tcMar>
            <w:vAlign w:val="center"/>
          </w:tcPr>
          <w:p>
            <w:r>
              <w:rPr>
                <w:sz w:val="16"/>
              </w:rPr>
              <w:t>Cyber-agent authorization / provenance</w:t>
            </w:r>
          </w:p>
        </w:tc>
        <w:tc>
          <w:tcPr>
            <w:tcW w:type="dxa" w:w="2498"/>
            <w:tcMar>
              <w:top w:w="90" w:type="dxa"/>
              <w:start w:w="90" w:type="dxa"/>
              <w:bottom w:w="90" w:type="dxa"/>
              <w:end w:w="90" w:type="dxa"/>
            </w:tcMar>
            <w:vAlign w:val="center"/>
          </w:tcPr>
          <w:p>
            <w:r>
              <w:rPr>
                <w:sz w:val="16"/>
              </w:rPr>
              <w:t>Deep AI-security architecture</w:t>
            </w:r>
          </w:p>
        </w:tc>
        <w:tc>
          <w:tcPr>
            <w:tcW w:type="dxa" w:w="2498"/>
            <w:tcMar>
              <w:top w:w="90" w:type="dxa"/>
              <w:start w:w="90" w:type="dxa"/>
              <w:bottom w:w="90" w:type="dxa"/>
              <w:end w:w="90" w:type="dxa"/>
            </w:tcMar>
            <w:vAlign w:val="center"/>
          </w:tcPr>
          <w:p>
            <w:r>
              <w:rPr>
                <w:sz w:val="16"/>
              </w:rPr>
              <w:t>Fides, PFI, SARA, FAVA, TrustOps-like 2026 evidence/trust work, plus cyber-agent benchmarks</w:t>
            </w:r>
          </w:p>
        </w:tc>
        <w:tc>
          <w:tcPr>
            <w:tcW w:type="dxa" w:w="2498"/>
            <w:tcMar>
              <w:top w:w="90" w:type="dxa"/>
              <w:start w:w="90" w:type="dxa"/>
              <w:bottom w:w="90" w:type="dxa"/>
              <w:end w:w="90" w:type="dxa"/>
            </w:tcMar>
            <w:shd w:fill="FCE4D6"/>
            <w:vAlign w:val="center"/>
          </w:tcPr>
          <w:p>
            <w:r>
              <w:rPr>
                <w:sz w:val="16"/>
              </w:rPr>
              <w:t>Kill as flagship</w:t>
            </w:r>
          </w:p>
        </w:tc>
      </w:tr>
      <w:tr>
        <w:trPr>
          <w:trHeight w:hRule="atLeast"/>
        </w:trPr>
        <w:tc>
          <w:tcPr>
            <w:tcW w:type="dxa" w:w="2498"/>
            <w:tcMar>
              <w:top w:w="90" w:type="dxa"/>
              <w:start w:w="90" w:type="dxa"/>
              <w:bottom w:w="90" w:type="dxa"/>
              <w:end w:w="90" w:type="dxa"/>
            </w:tcMar>
            <w:vAlign w:val="center"/>
          </w:tcPr>
          <w:p>
            <w:r>
              <w:rPr>
                <w:sz w:val="16"/>
              </w:rPr>
              <w:t>Malware drift + adversarial robustness</w:t>
            </w:r>
          </w:p>
        </w:tc>
        <w:tc>
          <w:tcPr>
            <w:tcW w:type="dxa" w:w="2498"/>
            <w:tcMar>
              <w:top w:w="90" w:type="dxa"/>
              <w:start w:w="90" w:type="dxa"/>
              <w:bottom w:w="90" w:type="dxa"/>
              <w:end w:w="90" w:type="dxa"/>
            </w:tcMar>
            <w:vAlign w:val="center"/>
          </w:tcPr>
          <w:p>
            <w:r>
              <w:rPr>
                <w:sz w:val="16"/>
              </w:rPr>
              <w:t>Reverse engineering + ML + longitudinal security</w:t>
            </w:r>
          </w:p>
        </w:tc>
        <w:tc>
          <w:tcPr>
            <w:tcW w:type="dxa" w:w="2498"/>
            <w:tcMar>
              <w:top w:w="90" w:type="dxa"/>
              <w:start w:w="90" w:type="dxa"/>
              <w:bottom w:w="90" w:type="dxa"/>
              <w:end w:w="90" w:type="dxa"/>
            </w:tcMar>
            <w:vAlign w:val="center"/>
          </w:tcPr>
          <w:p>
            <w:r>
              <w:rPr>
                <w:sz w:val="16"/>
              </w:rPr>
              <w:t>2026 studies directly combine temporal drift and adversarial robustness</w:t>
            </w:r>
          </w:p>
        </w:tc>
        <w:tc>
          <w:tcPr>
            <w:tcW w:type="dxa" w:w="2498"/>
            <w:tcMar>
              <w:top w:w="90" w:type="dxa"/>
              <w:start w:w="90" w:type="dxa"/>
              <w:bottom w:w="90" w:type="dxa"/>
              <w:end w:w="90" w:type="dxa"/>
            </w:tcMar>
            <w:shd w:fill="FCE4D6"/>
            <w:vAlign w:val="center"/>
          </w:tcPr>
          <w:p>
            <w:r>
              <w:rPr>
                <w:sz w:val="16"/>
              </w:rPr>
              <w:t>Kill as flagship</w:t>
            </w:r>
          </w:p>
        </w:tc>
      </w:tr>
      <w:tr>
        <w:trPr>
          <w:trHeight w:hRule="atLeast"/>
        </w:trPr>
        <w:tc>
          <w:tcPr>
            <w:tcW w:type="dxa" w:w="2498"/>
            <w:tcMar>
              <w:top w:w="90" w:type="dxa"/>
              <w:start w:w="90" w:type="dxa"/>
              <w:bottom w:w="90" w:type="dxa"/>
              <w:end w:w="90" w:type="dxa"/>
            </w:tcMar>
            <w:vAlign w:val="center"/>
          </w:tcPr>
          <w:p>
            <w:r>
              <w:rPr>
                <w:sz w:val="16"/>
              </w:rPr>
              <w:t>NIDS benchmark validity</w:t>
            </w:r>
          </w:p>
        </w:tc>
        <w:tc>
          <w:tcPr>
            <w:tcW w:type="dxa" w:w="2498"/>
            <w:tcMar>
              <w:top w:w="90" w:type="dxa"/>
              <w:start w:w="90" w:type="dxa"/>
              <w:bottom w:w="90" w:type="dxa"/>
              <w:end w:w="90" w:type="dxa"/>
            </w:tcMar>
            <w:vAlign w:val="center"/>
          </w:tcPr>
          <w:p>
            <w:r>
              <w:rPr>
                <w:sz w:val="16"/>
              </w:rPr>
              <w:t>Methodological rigor</w:t>
            </w:r>
          </w:p>
        </w:tc>
        <w:tc>
          <w:tcPr>
            <w:tcW w:type="dxa" w:w="2498"/>
            <w:tcMar>
              <w:top w:w="90" w:type="dxa"/>
              <w:start w:w="90" w:type="dxa"/>
              <w:bottom w:w="90" w:type="dxa"/>
              <w:end w:w="90" w:type="dxa"/>
            </w:tcMar>
            <w:vAlign w:val="center"/>
          </w:tcPr>
          <w:p>
            <w:r>
              <w:rPr>
                <w:sz w:val="16"/>
              </w:rPr>
              <w:t>Cross-dataset generalization, leakage, label harmonization and benchmark-shift research already established</w:t>
            </w:r>
          </w:p>
        </w:tc>
        <w:tc>
          <w:tcPr>
            <w:tcW w:type="dxa" w:w="2498"/>
            <w:tcMar>
              <w:top w:w="90" w:type="dxa"/>
              <w:start w:w="90" w:type="dxa"/>
              <w:bottom w:w="90" w:type="dxa"/>
              <w:end w:w="90" w:type="dxa"/>
            </w:tcMar>
            <w:shd w:fill="FCE4D6"/>
            <w:vAlign w:val="center"/>
          </w:tcPr>
          <w:p>
            <w:r>
              <w:rPr>
                <w:sz w:val="16"/>
              </w:rPr>
              <w:t>Kill as flagship</w:t>
            </w:r>
          </w:p>
        </w:tc>
      </w:tr>
      <w:tr>
        <w:trPr>
          <w:trHeight w:hRule="atLeast"/>
        </w:trPr>
        <w:tc>
          <w:tcPr>
            <w:tcW w:type="dxa" w:w="2498"/>
            <w:tcMar>
              <w:top w:w="90" w:type="dxa"/>
              <w:start w:w="90" w:type="dxa"/>
              <w:bottom w:w="90" w:type="dxa"/>
              <w:end w:w="90" w:type="dxa"/>
            </w:tcMar>
            <w:vAlign w:val="center"/>
          </w:tcPr>
          <w:p>
            <w:r>
              <w:rPr>
                <w:sz w:val="16"/>
              </w:rPr>
              <w:t>Security-control interaction</w:t>
            </w:r>
          </w:p>
        </w:tc>
        <w:tc>
          <w:tcPr>
            <w:tcW w:type="dxa" w:w="2498"/>
            <w:tcMar>
              <w:top w:w="90" w:type="dxa"/>
              <w:start w:w="90" w:type="dxa"/>
              <w:bottom w:w="90" w:type="dxa"/>
              <w:end w:w="90" w:type="dxa"/>
            </w:tcMar>
            <w:vAlign w:val="center"/>
          </w:tcPr>
          <w:p>
            <w:r>
              <w:rPr>
                <w:sz w:val="16"/>
              </w:rPr>
              <w:t>Systems/security architecture</w:t>
            </w:r>
          </w:p>
        </w:tc>
        <w:tc>
          <w:tcPr>
            <w:tcW w:type="dxa" w:w="2498"/>
            <w:tcMar>
              <w:top w:w="90" w:type="dxa"/>
              <w:start w:w="90" w:type="dxa"/>
              <w:bottom w:w="90" w:type="dxa"/>
              <w:end w:w="90" w:type="dxa"/>
            </w:tcMar>
            <w:vAlign w:val="center"/>
          </w:tcPr>
          <w:p>
            <w:r>
              <w:rPr>
                <w:sz w:val="16"/>
              </w:rPr>
              <w:t>Control-effectiveness, attack/defense simulation and BAS literature make the central phenomenon established</w:t>
            </w:r>
          </w:p>
        </w:tc>
        <w:tc>
          <w:tcPr>
            <w:tcW w:type="dxa" w:w="2498"/>
            <w:tcMar>
              <w:top w:w="90" w:type="dxa"/>
              <w:start w:w="90" w:type="dxa"/>
              <w:bottom w:w="90" w:type="dxa"/>
              <w:end w:w="90" w:type="dxa"/>
            </w:tcMar>
            <w:shd w:fill="FCE4D6"/>
            <w:vAlign w:val="center"/>
          </w:tcPr>
          <w:p>
            <w:r>
              <w:rPr>
                <w:sz w:val="16"/>
              </w:rPr>
              <w:t>Kill as flagship</w:t>
            </w:r>
          </w:p>
        </w:tc>
      </w:tr>
      <w:tr>
        <w:trPr>
          <w:trHeight w:hRule="atLeast"/>
        </w:trPr>
        <w:tc>
          <w:tcPr>
            <w:tcW w:type="dxa" w:w="2498"/>
            <w:tcMar>
              <w:top w:w="90" w:type="dxa"/>
              <w:start w:w="90" w:type="dxa"/>
              <w:bottom w:w="90" w:type="dxa"/>
              <w:end w:w="90" w:type="dxa"/>
            </w:tcMar>
            <w:vAlign w:val="center"/>
          </w:tcPr>
          <w:p>
            <w:r>
              <w:rPr>
                <w:sz w:val="16"/>
              </w:rPr>
              <w:t>Cross-sensor disagreement</w:t>
            </w:r>
          </w:p>
        </w:tc>
        <w:tc>
          <w:tcPr>
            <w:tcW w:type="dxa" w:w="2498"/>
            <w:tcMar>
              <w:top w:w="90" w:type="dxa"/>
              <w:start w:w="90" w:type="dxa"/>
              <w:bottom w:w="90" w:type="dxa"/>
              <w:end w:w="90" w:type="dxa"/>
            </w:tcMar>
            <w:vAlign w:val="center"/>
          </w:tcPr>
          <w:p>
            <w:r>
              <w:rPr>
                <w:sz w:val="16"/>
              </w:rPr>
              <w:t>Telemetry fusion + SOC relevance</w:t>
            </w:r>
          </w:p>
        </w:tc>
        <w:tc>
          <w:tcPr>
            <w:tcW w:type="dxa" w:w="2498"/>
            <w:tcMar>
              <w:top w:w="90" w:type="dxa"/>
              <w:start w:w="90" w:type="dxa"/>
              <w:bottom w:w="90" w:type="dxa"/>
              <w:end w:w="90" w:type="dxa"/>
            </w:tcMar>
            <w:vAlign w:val="center"/>
          </w:tcPr>
          <w:p>
            <w:r>
              <w:rPr>
                <w:sz w:val="16"/>
              </w:rPr>
              <w:t>Heterogeneous fusion, alert correlation, sensor reliability and 2026 attack-chain reconstruction cover the nearby space</w:t>
            </w:r>
          </w:p>
        </w:tc>
        <w:tc>
          <w:tcPr>
            <w:tcW w:type="dxa" w:w="2498"/>
            <w:tcMar>
              <w:top w:w="90" w:type="dxa"/>
              <w:start w:w="90" w:type="dxa"/>
              <w:bottom w:w="90" w:type="dxa"/>
              <w:end w:w="90" w:type="dxa"/>
            </w:tcMar>
            <w:shd w:fill="FCE4D6"/>
            <w:vAlign w:val="center"/>
          </w:tcPr>
          <w:p>
            <w:r>
              <w:rPr>
                <w:sz w:val="16"/>
              </w:rPr>
              <w:t>Kill as flagship</w:t>
            </w:r>
          </w:p>
        </w:tc>
      </w:tr>
      <w:tr>
        <w:trPr>
          <w:trHeight w:hRule="atLeast"/>
        </w:trPr>
        <w:tc>
          <w:tcPr>
            <w:tcW w:type="dxa" w:w="2498"/>
            <w:tcMar>
              <w:top w:w="90" w:type="dxa"/>
              <w:start w:w="90" w:type="dxa"/>
              <w:bottom w:w="90" w:type="dxa"/>
              <w:end w:w="90" w:type="dxa"/>
            </w:tcMar>
            <w:vAlign w:val="center"/>
          </w:tcPr>
          <w:p>
            <w:r>
              <w:rPr>
                <w:sz w:val="16"/>
              </w:rPr>
              <w:t>Evidence decay / freshness</w:t>
            </w:r>
          </w:p>
        </w:tc>
        <w:tc>
          <w:tcPr>
            <w:tcW w:type="dxa" w:w="2498"/>
            <w:tcMar>
              <w:top w:w="90" w:type="dxa"/>
              <w:start w:w="90" w:type="dxa"/>
              <w:bottom w:w="90" w:type="dxa"/>
              <w:end w:w="90" w:type="dxa"/>
            </w:tcMar>
            <w:vAlign w:val="center"/>
          </w:tcPr>
          <w:p>
            <w:r>
              <w:rPr>
                <w:sz w:val="16"/>
              </w:rPr>
              <w:t>Simple measurable temporal phenomenon</w:t>
            </w:r>
          </w:p>
        </w:tc>
        <w:tc>
          <w:tcPr>
            <w:tcW w:type="dxa" w:w="2498"/>
            <w:tcMar>
              <w:top w:w="90" w:type="dxa"/>
              <w:start w:w="90" w:type="dxa"/>
              <w:bottom w:w="90" w:type="dxa"/>
              <w:end w:w="90" w:type="dxa"/>
            </w:tcMar>
            <w:vAlign w:val="center"/>
          </w:tcPr>
          <w:p>
            <w:r>
              <w:rPr>
                <w:sz w:val="16"/>
              </w:rPr>
              <w:t>Temporal validity, dynamic risk scoring and freshness-aware security systems already exist</w:t>
            </w:r>
          </w:p>
        </w:tc>
        <w:tc>
          <w:tcPr>
            <w:tcW w:type="dxa" w:w="2498"/>
            <w:tcMar>
              <w:top w:w="90" w:type="dxa"/>
              <w:start w:w="90" w:type="dxa"/>
              <w:bottom w:w="90" w:type="dxa"/>
              <w:end w:w="90" w:type="dxa"/>
            </w:tcMar>
            <w:shd w:fill="FCE4D6"/>
            <w:vAlign w:val="center"/>
          </w:tcPr>
          <w:p>
            <w:r>
              <w:rPr>
                <w:sz w:val="16"/>
              </w:rPr>
              <w:t>Kill as flagship</w:t>
            </w:r>
          </w:p>
        </w:tc>
      </w:tr>
    </w:tbl>
    <w:p>
      <w:pPr>
        <w:pStyle w:val="Heading1"/>
      </w:pPr>
      <w:r>
        <w:t>2. How HADES Evolved</w:t>
      </w:r>
    </w:p>
    <w:p>
      <w:r>
        <w:t>The initial HADES concept was broad: “Which evidence should a cyber investigator inspect next?” The literature audit showed that sequential evidence acquisition, information gain, cost-aware retrieval, stopping, and cyber-agent investigation are all active fields. The research question therefore had to become narrower without becoming artificially complicated.</w:t>
      </w:r>
    </w:p>
    <w:tbl>
      <w:tblPr>
        <w:tblStyle w:val="TableGrid"/>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7365D"/>
            <w:tcMar>
              <w:top w:w="90" w:type="dxa"/>
              <w:start w:w="90" w:type="dxa"/>
              <w:bottom w:w="90" w:type="dxa"/>
              <w:end w:w="90" w:type="dxa"/>
            </w:tcMar>
            <w:vAlign w:val="center"/>
          </w:tcPr>
          <w:p>
            <w:r>
              <w:rPr>
                <w:b/>
                <w:color w:val="FFFFFF"/>
                <w:sz w:val="18"/>
              </w:rPr>
              <w:t>Stage</w:t>
            </w:r>
          </w:p>
        </w:tc>
        <w:tc>
          <w:tcPr>
            <w:tcW w:type="dxa" w:w="4997"/>
            <w:shd w:fill="17365D"/>
            <w:tcMar>
              <w:top w:w="90" w:type="dxa"/>
              <w:start w:w="90" w:type="dxa"/>
              <w:bottom w:w="90" w:type="dxa"/>
              <w:end w:w="90" w:type="dxa"/>
            </w:tcMar>
            <w:vAlign w:val="center"/>
          </w:tcPr>
          <w:p>
            <w:r>
              <w:rPr>
                <w:b/>
                <w:color w:val="FFFFFF"/>
                <w:sz w:val="18"/>
              </w:rPr>
              <w:t>Evolution</w:t>
            </w:r>
          </w:p>
        </w:tc>
      </w:tr>
      <w:tr>
        <w:trPr>
          <w:trHeight w:hRule="atLeast"/>
        </w:trPr>
        <w:tc>
          <w:tcPr>
            <w:tcW w:type="dxa" w:w="4997"/>
            <w:tcMar>
              <w:top w:w="90" w:type="dxa"/>
              <w:start w:w="90" w:type="dxa"/>
              <w:bottom w:w="90" w:type="dxa"/>
              <w:end w:w="90" w:type="dxa"/>
            </w:tcMar>
            <w:shd w:fill="F5F8FB"/>
            <w:vAlign w:val="center"/>
          </w:tcPr>
          <w:p>
            <w:r>
              <w:rPr>
                <w:b/>
              </w:rPr>
              <w:t>Stage 1</w:t>
              <w:br/>
              <w:t>Active cyber threat hunting</w:t>
            </w:r>
          </w:p>
        </w:tc>
        <w:tc>
          <w:tcPr>
            <w:tcW w:type="dxa" w:w="4997"/>
            <w:tcMar>
              <w:top w:w="90" w:type="dxa"/>
              <w:start w:w="90" w:type="dxa"/>
              <w:bottom w:w="90" w:type="dxa"/>
              <w:end w:w="90" w:type="dxa"/>
            </w:tcMar>
            <w:vAlign w:val="center"/>
          </w:tcPr>
          <w:p>
            <w:r>
              <w:t>CDB established threat hunting as a budgeted, partially observable sequential task.</w:t>
            </w:r>
          </w:p>
        </w:tc>
      </w:tr>
      <w:tr>
        <w:trPr>
          <w:trHeight w:hRule="atLeast"/>
        </w:trPr>
        <w:tc>
          <w:tcPr>
            <w:tcW w:type="dxa" w:w="4997"/>
            <w:tcMar>
              <w:top w:w="90" w:type="dxa"/>
              <w:start w:w="90" w:type="dxa"/>
              <w:bottom w:w="90" w:type="dxa"/>
              <w:end w:w="90" w:type="dxa"/>
            </w:tcMar>
            <w:shd w:fill="F5F8FB"/>
            <w:vAlign w:val="center"/>
          </w:tcPr>
          <w:p>
            <w:r>
              <w:rPr>
                <w:b/>
              </w:rPr>
              <w:t>Stage 2</w:t>
              <w:br/>
              <w:t>Evidence acquisition</w:t>
            </w:r>
          </w:p>
        </w:tc>
        <w:tc>
          <w:tcPr>
            <w:tcW w:type="dxa" w:w="4997"/>
            <w:tcMar>
              <w:top w:w="90" w:type="dxa"/>
              <w:start w:w="90" w:type="dxa"/>
              <w:bottom w:w="90" w:type="dxa"/>
              <w:end w:w="90" w:type="dxa"/>
            </w:tcMar>
            <w:vAlign w:val="center"/>
          </w:tcPr>
          <w:p>
            <w:r>
              <w:t>General research already studies cost-aware and information-gain-driven acquisition.</w:t>
            </w:r>
          </w:p>
        </w:tc>
      </w:tr>
      <w:tr>
        <w:trPr>
          <w:trHeight w:hRule="atLeast"/>
        </w:trPr>
        <w:tc>
          <w:tcPr>
            <w:tcW w:type="dxa" w:w="4997"/>
            <w:tcMar>
              <w:top w:w="90" w:type="dxa"/>
              <w:start w:w="90" w:type="dxa"/>
              <w:bottom w:w="90" w:type="dxa"/>
              <w:end w:w="90" w:type="dxa"/>
            </w:tcMar>
            <w:shd w:fill="F5F8FB"/>
            <w:vAlign w:val="center"/>
          </w:tcPr>
          <w:p>
            <w:r>
              <w:rPr>
                <w:b/>
              </w:rPr>
              <w:t>Stage 3</w:t>
              <w:br/>
              <w:t>Adversarial evidence</w:t>
            </w:r>
          </w:p>
        </w:tc>
        <w:tc>
          <w:tcPr>
            <w:tcW w:type="dxa" w:w="4997"/>
            <w:tcMar>
              <w:top w:w="90" w:type="dxa"/>
              <w:start w:w="90" w:type="dxa"/>
              <w:bottom w:w="90" w:type="dxa"/>
              <w:end w:w="90" w:type="dxa"/>
            </w:tcMar>
            <w:vAlign w:val="center"/>
          </w:tcPr>
          <w:p>
            <w:r>
              <w:t>OpenSec, SIR-Bench and related work show that cyber investigation can fail under adversarial or insufficient evidence.</w:t>
            </w:r>
          </w:p>
        </w:tc>
      </w:tr>
      <w:tr>
        <w:trPr>
          <w:trHeight w:hRule="atLeast"/>
        </w:trPr>
        <w:tc>
          <w:tcPr>
            <w:tcW w:type="dxa" w:w="4997"/>
            <w:tcMar>
              <w:top w:w="90" w:type="dxa"/>
              <w:start w:w="90" w:type="dxa"/>
              <w:bottom w:w="90" w:type="dxa"/>
              <w:end w:w="90" w:type="dxa"/>
            </w:tcMar>
            <w:shd w:fill="F5F8FB"/>
            <w:vAlign w:val="center"/>
          </w:tcPr>
          <w:p>
            <w:r>
              <w:rPr>
                <w:b/>
              </w:rPr>
              <w:t>Stage 4</w:t>
              <w:br/>
              <w:t>Mechanism viability test</w:t>
            </w:r>
          </w:p>
        </w:tc>
        <w:tc>
          <w:tcPr>
            <w:tcW w:type="dxa" w:w="4997"/>
            <w:tcMar>
              <w:top w:w="90" w:type="dxa"/>
              <w:start w:w="90" w:type="dxa"/>
              <w:bottom w:w="90" w:type="dxa"/>
              <w:end w:w="90" w:type="dxa"/>
            </w:tcMar>
            <w:vAlign w:val="center"/>
          </w:tcPr>
          <w:p>
            <w:r>
              <w:t>A controlled example demonstrated that evidence reliability can change the optimal next query even when raw information gain prefers another source.</w:t>
            </w:r>
          </w:p>
        </w:tc>
      </w:tr>
      <w:tr>
        <w:trPr>
          <w:trHeight w:hRule="atLeast"/>
        </w:trPr>
        <w:tc>
          <w:tcPr>
            <w:tcW w:type="dxa" w:w="4997"/>
            <w:tcMar>
              <w:top w:w="90" w:type="dxa"/>
              <w:start w:w="90" w:type="dxa"/>
              <w:bottom w:w="90" w:type="dxa"/>
              <w:end w:w="90" w:type="dxa"/>
            </w:tcMar>
            <w:shd w:fill="F5F8FB"/>
            <w:vAlign w:val="center"/>
          </w:tcPr>
          <w:p>
            <w:r>
              <w:rPr>
                <w:b/>
              </w:rPr>
              <w:t>Stage 5</w:t>
              <w:br/>
              <w:t>Current formulation</w:t>
            </w:r>
          </w:p>
        </w:tc>
        <w:tc>
          <w:tcPr>
            <w:tcW w:type="dxa" w:w="4997"/>
            <w:tcMar>
              <w:top w:w="90" w:type="dxa"/>
              <w:start w:w="90" w:type="dxa"/>
              <w:bottom w:w="90" w:type="dxa"/>
              <w:end w:w="90" w:type="dxa"/>
            </w:tcMar>
            <w:vAlign w:val="center"/>
          </w:tcPr>
          <w:p>
            <w:r>
              <w:t>Study the interaction between hypothesis discrimination, acquisition cost, evidence reliability/manipulability, and query order under a finite budget.</w:t>
            </w:r>
          </w:p>
        </w:tc>
      </w:tr>
    </w:tbl>
    <w:p>
      <w:pPr>
        <w:pStyle w:val="Heading1"/>
      </w:pPr>
      <w:r>
        <w:t>3. Research Problem and Contribution</w:t>
      </w:r>
    </w:p>
    <w:p>
      <w:pPr>
        <w:pStyle w:val="Heading2"/>
      </w:pPr>
      <w:r>
        <w:t>3.1 Research problem</w:t>
      </w:r>
    </w:p>
    <w:p>
      <w:r>
        <w:t>Threat hunting is increasingly a sequential investigation problem. An investigator cannot inspect every available log source, query every table, or collect every artifact. The investigator therefore has to decide which evidence to acquire next, how much to trust it, and when further investigation has insufficient expected value.</w:t>
      </w:r>
    </w:p>
    <w:tbl>
      <w:tblPr>
        <w:tblW w:type="auto" w:w="0"/>
        <w:jc w:val="center"/>
        <w:tblLook w:firstColumn="1" w:firstRow="1" w:lastColumn="0" w:lastRow="0" w:noHBand="0" w:noVBand="1" w:val="04A0"/>
      </w:tblPr>
      <w:tblGrid>
        <w:gridCol w:w="9994"/>
      </w:tblGrid>
      <w:tr>
        <w:trPr>
          <w:trHeight w:hRule="atLeast"/>
        </w:trPr>
        <w:tc>
          <w:tcPr>
            <w:tcW w:type="dxa" w:w="9994"/>
            <w:shd w:fill="EAF2F8"/>
            <w:tcMar>
              <w:top w:w="160" w:type="dxa"/>
              <w:start w:w="180" w:type="dxa"/>
              <w:bottom w:w="160" w:type="dxa"/>
              <w:end w:w="180" w:type="dxa"/>
            </w:tcMar>
            <w:vAlign w:val="center"/>
          </w:tcPr>
          <w:p>
            <w:r>
              <w:rPr>
                <w:b/>
              </w:rPr>
              <w:t>Core research question</w:t>
              <w:br/>
            </w:r>
            <w:r>
              <w:t>Can a budget-aware investigation policy select the next telemetry acquisition action that maximizes reliable discrimination among competing cyberattack hypotheses, while accounting for acquisition cost and adversarial evidence risk?</w:t>
            </w:r>
          </w:p>
        </w:tc>
      </w:tr>
    </w:tbl>
    <w:tbl>
      <w:tblPr>
        <w:tblW w:type="auto" w:w="0"/>
        <w:jc w:val="center"/>
        <w:tblLook w:firstColumn="1" w:firstRow="1" w:lastColumn="0" w:lastRow="0" w:noHBand="0" w:noVBand="1" w:val="04A0"/>
      </w:tblPr>
      <w:tblGrid>
        <w:gridCol w:w="9994"/>
      </w:tblGrid>
      <w:tr>
        <w:trPr>
          <w:trHeight w:hRule="atLeast"/>
        </w:trPr>
        <w:tc>
          <w:tcPr>
            <w:tcW w:type="dxa" w:w="9994"/>
            <w:shd w:fill="F5F8FB"/>
            <w:tcMar>
              <w:top w:w="120" w:type="dxa"/>
              <w:start w:w="160" w:type="dxa"/>
              <w:bottom w:w="120" w:type="dxa"/>
              <w:end w:w="160" w:type="dxa"/>
            </w:tcMar>
            <w:vAlign w:val="center"/>
          </w:tcPr>
          <w:p>
            <w:r>
              <w:rPr>
                <w:b/>
              </w:rPr>
              <w:t>Contribution A — Problem formulation</w:t>
              <w:br/>
            </w:r>
            <w:r>
              <w:t>Formalize cyber threat hunting as budgeted, sequential evidence acquisition over competing attack hypotheses.</w:t>
            </w:r>
          </w:p>
        </w:tc>
      </w:tr>
    </w:tbl>
    <w:tbl>
      <w:tblPr>
        <w:tblW w:type="auto" w:w="0"/>
        <w:jc w:val="center"/>
        <w:tblLook w:firstColumn="1" w:firstRow="1" w:lastColumn="0" w:lastRow="0" w:noHBand="0" w:noVBand="1" w:val="04A0"/>
      </w:tblPr>
      <w:tblGrid>
        <w:gridCol w:w="9994"/>
      </w:tblGrid>
      <w:tr>
        <w:trPr>
          <w:trHeight w:hRule="atLeast"/>
        </w:trPr>
        <w:tc>
          <w:tcPr>
            <w:tcW w:type="dxa" w:w="9994"/>
            <w:shd w:fill="F5F8FB"/>
            <w:tcMar>
              <w:top w:w="120" w:type="dxa"/>
              <w:start w:w="160" w:type="dxa"/>
              <w:bottom w:w="120" w:type="dxa"/>
              <w:end w:w="160" w:type="dxa"/>
            </w:tcMar>
            <w:vAlign w:val="center"/>
          </w:tcPr>
          <w:p>
            <w:r>
              <w:rPr>
                <w:b/>
              </w:rPr>
              <w:t>Contribution B — Policy</w:t>
              <w:br/>
            </w:r>
            <w:r>
              <w:t>Develop HADES as a reference policy that combines expected hypothesis discrimination, acquisition cost, and evidence-manipulation risk.</w:t>
            </w:r>
          </w:p>
        </w:tc>
      </w:tr>
    </w:tbl>
    <w:tbl>
      <w:tblPr>
        <w:tblW w:type="auto" w:w="0"/>
        <w:jc w:val="center"/>
        <w:tblLook w:firstColumn="1" w:firstRow="1" w:lastColumn="0" w:lastRow="0" w:noHBand="0" w:noVBand="1" w:val="04A0"/>
      </w:tblPr>
      <w:tblGrid>
        <w:gridCol w:w="9994"/>
      </w:tblGrid>
      <w:tr>
        <w:trPr>
          <w:trHeight w:hRule="atLeast"/>
        </w:trPr>
        <w:tc>
          <w:tcPr>
            <w:tcW w:type="dxa" w:w="9994"/>
            <w:shd w:fill="F5F8FB"/>
            <w:tcMar>
              <w:top w:w="120" w:type="dxa"/>
              <w:start w:w="160" w:type="dxa"/>
              <w:bottom w:w="120" w:type="dxa"/>
              <w:end w:w="160" w:type="dxa"/>
            </w:tcMar>
            <w:vAlign w:val="center"/>
          </w:tcPr>
          <w:p>
            <w:r>
              <w:rPr>
                <w:b/>
              </w:rPr>
              <w:t>Contribution C — Adversarial evaluation</w:t>
              <w:br/>
            </w:r>
            <w:r>
              <w:t>Introduce controlled missing, stale, misleading, and targeted telemetry conditions without altering ground truth.</w:t>
            </w:r>
          </w:p>
        </w:tc>
      </w:tr>
    </w:tbl>
    <w:tbl>
      <w:tblPr>
        <w:tblW w:type="auto" w:w="0"/>
        <w:jc w:val="center"/>
        <w:tblLook w:firstColumn="1" w:firstRow="1" w:lastColumn="0" w:lastRow="0" w:noHBand="0" w:noVBand="1" w:val="04A0"/>
      </w:tblPr>
      <w:tblGrid>
        <w:gridCol w:w="9994"/>
      </w:tblGrid>
      <w:tr>
        <w:trPr>
          <w:trHeight w:hRule="atLeast"/>
        </w:trPr>
        <w:tc>
          <w:tcPr>
            <w:tcW w:type="dxa" w:w="9994"/>
            <w:shd w:fill="F5F8FB"/>
            <w:tcMar>
              <w:top w:w="120" w:type="dxa"/>
              <w:start w:w="160" w:type="dxa"/>
              <w:bottom w:w="120" w:type="dxa"/>
              <w:end w:w="160" w:type="dxa"/>
            </w:tcMar>
            <w:vAlign w:val="center"/>
          </w:tcPr>
          <w:p>
            <w:r>
              <w:rPr>
                <w:b/>
              </w:rPr>
              <w:t>Contribution D — Query-order analysis</w:t>
              <w:br/>
            </w:r>
            <w:r>
              <w:t>Measure when and why reliability-aware policies select a different next query than information-gain-only policies.</w:t>
            </w:r>
          </w:p>
        </w:tc>
      </w:tr>
    </w:tbl>
    <w:tbl>
      <w:tblPr>
        <w:tblW w:type="auto" w:w="0"/>
        <w:jc w:val="center"/>
        <w:tblLook w:firstColumn="1" w:firstRow="1" w:lastColumn="0" w:lastRow="0" w:noHBand="0" w:noVBand="1" w:val="04A0"/>
      </w:tblPr>
      <w:tblGrid>
        <w:gridCol w:w="9994"/>
      </w:tblGrid>
      <w:tr>
        <w:trPr>
          <w:trHeight w:hRule="atLeast"/>
        </w:trPr>
        <w:tc>
          <w:tcPr>
            <w:tcW w:type="dxa" w:w="9994"/>
            <w:shd w:fill="F5F8FB"/>
            <w:tcMar>
              <w:top w:w="120" w:type="dxa"/>
              <w:start w:w="160" w:type="dxa"/>
              <w:bottom w:w="120" w:type="dxa"/>
              <w:end w:w="160" w:type="dxa"/>
            </w:tcMar>
            <w:vAlign w:val="center"/>
          </w:tcPr>
          <w:p>
            <w:r>
              <w:rPr>
                <w:b/>
              </w:rPr>
              <w:t>Contribution E — Reproducibility</w:t>
              <w:br/>
            </w:r>
            <w:r>
              <w:t>Release policy implementations, experiment configurations, attack seeds, corruption generators, analysis scripts, and documentation.</w:t>
            </w:r>
          </w:p>
        </w:tc>
      </w:tr>
    </w:tbl>
    <w:p>
      <w:pPr>
        <w:pStyle w:val="Heading1"/>
      </w:pPr>
      <w:r>
        <w:t>4. Literature Positioning: What HADES Is and Is Not</w:t>
      </w:r>
    </w:p>
    <w:tbl>
      <w:tblPr>
        <w:tblStyle w:val="TableGrid"/>
        <w:tblW w:type="auto" w:w="0"/>
        <w:jc w:val="center"/>
        <w:tblLook w:firstColumn="1" w:firstRow="1" w:lastColumn="0" w:lastRow="0" w:noHBand="0" w:noVBand="1" w:val="04A0"/>
      </w:tblPr>
      <w:tblGrid>
        <w:gridCol w:w="3331"/>
        <w:gridCol w:w="3331"/>
        <w:gridCol w:w="3331"/>
      </w:tblGrid>
      <w:tr>
        <w:trPr>
          <w:trHeight w:hRule="atLeast"/>
          <w:tblHeader w:val="true"/>
        </w:trPr>
        <w:tc>
          <w:tcPr>
            <w:tcW w:type="dxa" w:w="3331"/>
            <w:shd w:fill="17365D"/>
            <w:tcMar>
              <w:top w:w="90" w:type="dxa"/>
              <w:start w:w="90" w:type="dxa"/>
              <w:bottom w:w="90" w:type="dxa"/>
              <w:end w:w="90" w:type="dxa"/>
            </w:tcMar>
            <w:vAlign w:val="center"/>
          </w:tcPr>
          <w:p>
            <w:r>
              <w:rPr>
                <w:b/>
                <w:color w:val="FFFFFF"/>
                <w:sz w:val="17"/>
              </w:rPr>
              <w:t>Work/family</w:t>
            </w:r>
          </w:p>
        </w:tc>
        <w:tc>
          <w:tcPr>
            <w:tcW w:type="dxa" w:w="3331"/>
            <w:shd w:fill="17365D"/>
            <w:tcMar>
              <w:top w:w="90" w:type="dxa"/>
              <w:start w:w="90" w:type="dxa"/>
              <w:bottom w:w="90" w:type="dxa"/>
              <w:end w:w="90" w:type="dxa"/>
            </w:tcMar>
            <w:vAlign w:val="center"/>
          </w:tcPr>
          <w:p>
            <w:r>
              <w:rPr>
                <w:b/>
                <w:color w:val="FFFFFF"/>
                <w:sz w:val="17"/>
              </w:rPr>
              <w:t>What it establishes</w:t>
            </w:r>
          </w:p>
        </w:tc>
        <w:tc>
          <w:tcPr>
            <w:tcW w:type="dxa" w:w="3331"/>
            <w:shd w:fill="17365D"/>
            <w:tcMar>
              <w:top w:w="90" w:type="dxa"/>
              <w:start w:w="90" w:type="dxa"/>
              <w:bottom w:w="90" w:type="dxa"/>
              <w:end w:w="90" w:type="dxa"/>
            </w:tcMar>
            <w:vAlign w:val="center"/>
          </w:tcPr>
          <w:p>
            <w:r>
              <w:rPr>
                <w:b/>
                <w:color w:val="FFFFFF"/>
                <w:sz w:val="17"/>
              </w:rPr>
              <w:t>HADES positioning</w:t>
            </w:r>
          </w:p>
        </w:tc>
      </w:tr>
      <w:tr>
        <w:trPr>
          <w:trHeight w:hRule="atLeast"/>
        </w:trPr>
        <w:tc>
          <w:tcPr>
            <w:tcW w:type="dxa" w:w="3331"/>
            <w:tcMar>
              <w:top w:w="90" w:type="dxa"/>
              <w:start w:w="90" w:type="dxa"/>
              <w:bottom w:w="90" w:type="dxa"/>
              <w:end w:w="90" w:type="dxa"/>
            </w:tcMar>
            <w:vAlign w:val="center"/>
          </w:tcPr>
          <w:p>
            <w:r>
              <w:rPr>
                <w:b/>
                <w:sz w:val="16"/>
              </w:rPr>
              <w:t>Cyber Defense Benchmark (CDB)</w:t>
            </w:r>
          </w:p>
        </w:tc>
        <w:tc>
          <w:tcPr>
            <w:tcW w:type="dxa" w:w="3331"/>
            <w:tcMar>
              <w:top w:w="90" w:type="dxa"/>
              <w:start w:w="90" w:type="dxa"/>
              <w:bottom w:w="90" w:type="dxa"/>
              <w:end w:w="90" w:type="dxa"/>
            </w:tcMar>
            <w:vAlign w:val="center"/>
          </w:tcPr>
          <w:p>
            <w:r>
              <w:rPr>
                <w:sz w:val="16"/>
              </w:rPr>
              <w:t>Cyber threat-hunting environment with raw Windows events, query budgets, deterministic campaigns and ground truth.</w:t>
            </w:r>
          </w:p>
        </w:tc>
        <w:tc>
          <w:tcPr>
            <w:tcW w:type="dxa" w:w="3331"/>
            <w:tcMar>
              <w:top w:w="90" w:type="dxa"/>
              <w:start w:w="90" w:type="dxa"/>
              <w:bottom w:w="90" w:type="dxa"/>
              <w:end w:w="90" w:type="dxa"/>
            </w:tcMar>
            <w:vAlign w:val="center"/>
          </w:tcPr>
          <w:p>
            <w:r>
              <w:rPr>
                <w:sz w:val="16"/>
              </w:rPr>
              <w:t>Benchmark/task substrate; not the novelty target.</w:t>
            </w:r>
          </w:p>
        </w:tc>
      </w:tr>
      <w:tr>
        <w:trPr>
          <w:trHeight w:hRule="atLeast"/>
        </w:trPr>
        <w:tc>
          <w:tcPr>
            <w:tcW w:type="dxa" w:w="3331"/>
            <w:tcMar>
              <w:top w:w="90" w:type="dxa"/>
              <w:start w:w="90" w:type="dxa"/>
              <w:bottom w:w="90" w:type="dxa"/>
              <w:end w:w="90" w:type="dxa"/>
            </w:tcMar>
            <w:vAlign w:val="center"/>
          </w:tcPr>
          <w:p>
            <w:r>
              <w:rPr>
                <w:b/>
                <w:sz w:val="16"/>
              </w:rPr>
              <w:t>OpenSec</w:t>
            </w:r>
          </w:p>
        </w:tc>
        <w:tc>
          <w:tcPr>
            <w:tcW w:type="dxa" w:w="3331"/>
            <w:tcMar>
              <w:top w:w="90" w:type="dxa"/>
              <w:start w:w="90" w:type="dxa"/>
              <w:bottom w:w="90" w:type="dxa"/>
              <w:end w:w="90" w:type="dxa"/>
            </w:tcMar>
            <w:vAlign w:val="center"/>
          </w:tcPr>
          <w:p>
            <w:r>
              <w:rPr>
                <w:sz w:val="16"/>
              </w:rPr>
              <w:t>Cyber incident-response calibration under adversarial evidence, including containment and over-triggering.</w:t>
            </w:r>
          </w:p>
        </w:tc>
        <w:tc>
          <w:tcPr>
            <w:tcW w:type="dxa" w:w="3331"/>
            <w:tcMar>
              <w:top w:w="90" w:type="dxa"/>
              <w:start w:w="90" w:type="dxa"/>
              <w:bottom w:w="90" w:type="dxa"/>
              <w:end w:w="90" w:type="dxa"/>
            </w:tcMar>
            <w:vAlign w:val="center"/>
          </w:tcPr>
          <w:p>
            <w:r>
              <w:rPr>
                <w:sz w:val="16"/>
              </w:rPr>
              <w:t>Shows cyber agents can act unsafely; HADES studies query allocation before action.</w:t>
            </w:r>
          </w:p>
        </w:tc>
      </w:tr>
      <w:tr>
        <w:trPr>
          <w:trHeight w:hRule="atLeast"/>
        </w:trPr>
        <w:tc>
          <w:tcPr>
            <w:tcW w:type="dxa" w:w="3331"/>
            <w:tcMar>
              <w:top w:w="90" w:type="dxa"/>
              <w:start w:w="90" w:type="dxa"/>
              <w:bottom w:w="90" w:type="dxa"/>
              <w:end w:w="90" w:type="dxa"/>
            </w:tcMar>
            <w:vAlign w:val="center"/>
          </w:tcPr>
          <w:p>
            <w:r>
              <w:rPr>
                <w:b/>
                <w:sz w:val="16"/>
              </w:rPr>
              <w:t>SIR-Bench</w:t>
            </w:r>
          </w:p>
        </w:tc>
        <w:tc>
          <w:tcPr>
            <w:tcW w:type="dxa" w:w="3331"/>
            <w:tcMar>
              <w:top w:w="90" w:type="dxa"/>
              <w:start w:w="90" w:type="dxa"/>
              <w:bottom w:w="90" w:type="dxa"/>
              <w:end w:w="90" w:type="dxa"/>
            </w:tcMar>
            <w:vAlign w:val="center"/>
          </w:tcPr>
          <w:p>
            <w:r>
              <w:rPr>
                <w:sz w:val="16"/>
              </w:rPr>
              <w:t>Investigation depth, concrete evidence discovery, tool-use appropriateness.</w:t>
            </w:r>
          </w:p>
        </w:tc>
        <w:tc>
          <w:tcPr>
            <w:tcW w:type="dxa" w:w="3331"/>
            <w:tcMar>
              <w:top w:w="90" w:type="dxa"/>
              <w:start w:w="90" w:type="dxa"/>
              <w:bottom w:w="90" w:type="dxa"/>
              <w:end w:w="90" w:type="dxa"/>
            </w:tcMar>
            <w:vAlign w:val="center"/>
          </w:tcPr>
          <w:p>
            <w:r>
              <w:rPr>
                <w:sz w:val="16"/>
              </w:rPr>
              <w:t>Shows evidence-grounded investigation is measurable; HADES studies how to allocate investigative effort.</w:t>
            </w:r>
          </w:p>
        </w:tc>
      </w:tr>
      <w:tr>
        <w:trPr>
          <w:trHeight w:hRule="atLeast"/>
        </w:trPr>
        <w:tc>
          <w:tcPr>
            <w:tcW w:type="dxa" w:w="3331"/>
            <w:tcMar>
              <w:top w:w="90" w:type="dxa"/>
              <w:start w:w="90" w:type="dxa"/>
              <w:bottom w:w="90" w:type="dxa"/>
              <w:end w:w="90" w:type="dxa"/>
            </w:tcMar>
            <w:vAlign w:val="center"/>
          </w:tcPr>
          <w:p>
            <w:r>
              <w:rPr>
                <w:b/>
                <w:sz w:val="16"/>
              </w:rPr>
              <w:t>SecRespond</w:t>
            </w:r>
          </w:p>
        </w:tc>
        <w:tc>
          <w:tcPr>
            <w:tcW w:type="dxa" w:w="3331"/>
            <w:tcMar>
              <w:top w:w="90" w:type="dxa"/>
              <w:start w:w="90" w:type="dxa"/>
              <w:bottom w:w="90" w:type="dxa"/>
              <w:end w:w="90" w:type="dxa"/>
            </w:tcMar>
            <w:vAlign w:val="center"/>
          </w:tcPr>
          <w:p>
            <w:r>
              <w:rPr>
                <w:sz w:val="16"/>
              </w:rPr>
              <w:t>Post-compromise investigation across cyber ranges, forensic artifacts and remediation.</w:t>
            </w:r>
          </w:p>
        </w:tc>
        <w:tc>
          <w:tcPr>
            <w:tcW w:type="dxa" w:w="3331"/>
            <w:tcMar>
              <w:top w:w="90" w:type="dxa"/>
              <w:start w:w="90" w:type="dxa"/>
              <w:bottom w:w="90" w:type="dxa"/>
              <w:end w:w="90" w:type="dxa"/>
            </w:tcMar>
            <w:vAlign w:val="center"/>
          </w:tcPr>
          <w:p>
            <w:r>
              <w:rPr>
                <w:sz w:val="16"/>
              </w:rPr>
              <w:t>Provides additional evidence that cyber investigation is difficult and benchmarkable.</w:t>
            </w:r>
          </w:p>
        </w:tc>
      </w:tr>
      <w:tr>
        <w:trPr>
          <w:trHeight w:hRule="atLeast"/>
        </w:trPr>
        <w:tc>
          <w:tcPr>
            <w:tcW w:type="dxa" w:w="3331"/>
            <w:tcMar>
              <w:top w:w="90" w:type="dxa"/>
              <w:start w:w="90" w:type="dxa"/>
              <w:bottom w:w="90" w:type="dxa"/>
              <w:end w:w="90" w:type="dxa"/>
            </w:tcMar>
            <w:vAlign w:val="center"/>
          </w:tcPr>
          <w:p>
            <w:r>
              <w:rPr>
                <w:b/>
                <w:sz w:val="16"/>
              </w:rPr>
              <w:t>Cost-aware evidence selection</w:t>
            </w:r>
          </w:p>
        </w:tc>
        <w:tc>
          <w:tcPr>
            <w:tcW w:type="dxa" w:w="3331"/>
            <w:tcMar>
              <w:top w:w="90" w:type="dxa"/>
              <w:start w:w="90" w:type="dxa"/>
              <w:bottom w:w="90" w:type="dxa"/>
              <w:end w:w="90" w:type="dxa"/>
            </w:tcMar>
            <w:vAlign w:val="center"/>
          </w:tcPr>
          <w:p>
            <w:r>
              <w:rPr>
                <w:sz w:val="16"/>
              </w:rPr>
              <w:t>General retrieval under evidence-access costs and budgets.</w:t>
            </w:r>
          </w:p>
        </w:tc>
        <w:tc>
          <w:tcPr>
            <w:tcW w:type="dxa" w:w="3331"/>
            <w:tcMar>
              <w:top w:w="90" w:type="dxa"/>
              <w:start w:w="90" w:type="dxa"/>
              <w:bottom w:w="90" w:type="dxa"/>
              <w:end w:w="90" w:type="dxa"/>
            </w:tcMar>
            <w:vAlign w:val="center"/>
          </w:tcPr>
          <w:p>
            <w:r>
              <w:rPr>
                <w:sz w:val="16"/>
              </w:rPr>
              <w:t>Methodological ancestor; HADES transfers the decision problem into adversarial cyber investigation.</w:t>
            </w:r>
          </w:p>
        </w:tc>
      </w:tr>
      <w:tr>
        <w:trPr>
          <w:trHeight w:hRule="atLeast"/>
        </w:trPr>
        <w:tc>
          <w:tcPr>
            <w:tcW w:type="dxa" w:w="3331"/>
            <w:tcMar>
              <w:top w:w="90" w:type="dxa"/>
              <w:start w:w="90" w:type="dxa"/>
              <w:bottom w:w="90" w:type="dxa"/>
              <w:end w:w="90" w:type="dxa"/>
            </w:tcMar>
            <w:vAlign w:val="center"/>
          </w:tcPr>
          <w:p>
            <w:r>
              <w:rPr>
                <w:b/>
                <w:sz w:val="16"/>
              </w:rPr>
              <w:t>Evidence-acquisition / stopping work</w:t>
            </w:r>
          </w:p>
        </w:tc>
        <w:tc>
          <w:tcPr>
            <w:tcW w:type="dxa" w:w="3331"/>
            <w:tcMar>
              <w:top w:w="90" w:type="dxa"/>
              <w:start w:w="90" w:type="dxa"/>
              <w:bottom w:w="90" w:type="dxa"/>
              <w:end w:w="90" w:type="dxa"/>
            </w:tcMar>
            <w:vAlign w:val="center"/>
          </w:tcPr>
          <w:p>
            <w:r>
              <w:rPr>
                <w:sz w:val="16"/>
              </w:rPr>
              <w:t>Sequential evidence acquisition and evidence-coverage-based stopping in other domains.</w:t>
            </w:r>
          </w:p>
        </w:tc>
        <w:tc>
          <w:tcPr>
            <w:tcW w:type="dxa" w:w="3331"/>
            <w:tcMar>
              <w:top w:w="90" w:type="dxa"/>
              <w:start w:w="90" w:type="dxa"/>
              <w:bottom w:w="90" w:type="dxa"/>
              <w:end w:w="90" w:type="dxa"/>
            </w:tcMar>
            <w:vAlign w:val="center"/>
          </w:tcPr>
          <w:p>
            <w:r>
              <w:rPr>
                <w:sz w:val="16"/>
              </w:rPr>
              <w:t>HADES must not claim information gain or stopping as novel in itself.</w:t>
            </w:r>
          </w:p>
        </w:tc>
      </w:tr>
      <w:tr>
        <w:trPr>
          <w:trHeight w:hRule="atLeast"/>
        </w:trPr>
        <w:tc>
          <w:tcPr>
            <w:tcW w:type="dxa" w:w="3331"/>
            <w:tcMar>
              <w:top w:w="90" w:type="dxa"/>
              <w:start w:w="90" w:type="dxa"/>
              <w:bottom w:w="90" w:type="dxa"/>
              <w:end w:w="90" w:type="dxa"/>
            </w:tcMar>
            <w:vAlign w:val="center"/>
          </w:tcPr>
          <w:p>
            <w:r>
              <w:rPr>
                <w:b/>
                <w:sz w:val="16"/>
              </w:rPr>
              <w:t>Fides / agent authorization</w:t>
            </w:r>
          </w:p>
        </w:tc>
        <w:tc>
          <w:tcPr>
            <w:tcW w:type="dxa" w:w="3331"/>
            <w:tcMar>
              <w:top w:w="90" w:type="dxa"/>
              <w:start w:w="90" w:type="dxa"/>
              <w:bottom w:w="90" w:type="dxa"/>
              <w:end w:w="90" w:type="dxa"/>
            </w:tcMar>
            <w:vAlign w:val="center"/>
          </w:tcPr>
          <w:p>
            <w:r>
              <w:rPr>
                <w:sz w:val="16"/>
              </w:rPr>
              <w:t>Information-flow, integrity labels and deterministic agent policy enforcement.</w:t>
            </w:r>
          </w:p>
        </w:tc>
        <w:tc>
          <w:tcPr>
            <w:tcW w:type="dxa" w:w="3331"/>
            <w:tcMar>
              <w:top w:w="90" w:type="dxa"/>
              <w:start w:w="90" w:type="dxa"/>
              <w:bottom w:w="90" w:type="dxa"/>
              <w:end w:w="90" w:type="dxa"/>
            </w:tcMar>
            <w:vAlign w:val="center"/>
          </w:tcPr>
          <w:p>
            <w:r>
              <w:rPr>
                <w:sz w:val="16"/>
              </w:rPr>
              <w:t>Not the same decision point; HADES is about which telemetry to acquire next.</w:t>
            </w:r>
          </w:p>
        </w:tc>
      </w:tr>
    </w:tbl>
    <w:p>
      <w:pPr>
        <w:pStyle w:val="Heading1"/>
      </w:pPr>
      <w:r>
        <w:t>5. Novelty Assessment</w:t>
      </w:r>
    </w:p>
    <w:p>
      <w:r>
        <w:t>The novelty claim is deliberately narrow. The paper should never state that HADES is the first work to use information gain, evidence acquisition, budgets, stopping rules, or adversarial evidence. Those are all established ideas. The potential novelty lies in their specific integration as a cyber-investigation policy and in the empirical phenomenon it tests: whether evidence manipulability changes which query is rational to perform next.</w:t>
      </w:r>
    </w:p>
    <w:p>
      <w:pPr>
        <w:pStyle w:val="Heading2"/>
      </w:pPr>
      <w:r>
        <w:t>5.1 What is already known</w:t>
      </w:r>
    </w:p>
    <w:p>
      <w:pPr>
        <w:pStyle w:val="ListBullet"/>
      </w:pPr>
      <w:r>
        <w:t>Sequential cyber threat hunting is a real benchmarkable task.</w:t>
      </w:r>
    </w:p>
    <w:p>
      <w:pPr>
        <w:pStyle w:val="ListBullet"/>
      </w:pPr>
      <w:r>
        <w:t>Current agents can fail badly when investigating large telemetry stores.</w:t>
      </w:r>
    </w:p>
    <w:p>
      <w:pPr>
        <w:pStyle w:val="ListBullet"/>
      </w:pPr>
      <w:r>
        <w:t>Information-gain-based evidence acquisition exists outside cybersecurity.</w:t>
      </w:r>
    </w:p>
    <w:p>
      <w:pPr>
        <w:pStyle w:val="ListBullet"/>
      </w:pPr>
      <w:r>
        <w:t>Cost-aware evidence retrieval exists.</w:t>
      </w:r>
    </w:p>
    <w:p>
      <w:pPr>
        <w:pStyle w:val="ListBullet"/>
      </w:pPr>
      <w:r>
        <w:t>Evidence sufficiency and stopping are active research topics.</w:t>
      </w:r>
    </w:p>
    <w:p>
      <w:pPr>
        <w:pStyle w:val="ListBullet"/>
      </w:pPr>
      <w:r>
        <w:t>Cybersecurity agents can be manipulated by adversarial evidence.</w:t>
      </w:r>
    </w:p>
    <w:p>
      <w:pPr>
        <w:pStyle w:val="Heading2"/>
      </w:pPr>
      <w:r>
        <w:t>5.2 What HADES proposes to test</w:t>
      </w:r>
    </w:p>
    <w:p>
      <w:r>
        <w:t>HADES tests whether the presence of evidence sources with different levels of manipulability changes the optimal investigative query order. This is the load-bearing proposition. If experiments show that information-gain-per-cost is effectively sufficient even under targeted telemetry manipulation, the HADES method should be downgraded or abandoned rather than forced into a novelty claim.</w:t>
      </w:r>
    </w:p>
    <w:p>
      <w:pPr>
        <w:pStyle w:val="Heading1"/>
      </w:pPr>
      <w:r>
        <w:t>6. Mechanism Viability: Why Reliability Can Change the Optimal Query</w:t>
      </w:r>
    </w:p>
    <w:p>
      <w:r>
        <w:t>A controlled example demonstrates the basic phenomenon. Suppose three queries are available: authentication, process tree, and DNS. The process-tree query has slightly higher nominal information gain, but its telemetry source is substantially more manipulable. The authentication query is slightly less informative in a clean environment but much more reliable.</w:t>
      </w:r>
    </w:p>
    <w:tbl>
      <w:tblPr>
        <w:tblStyle w:val="TableGrid"/>
        <w:tblW w:type="auto" w:w="0"/>
        <w:jc w:val="center"/>
        <w:tblLook w:firstColumn="1" w:firstRow="1" w:lastColumn="0" w:lastRow="0" w:noHBand="0" w:noVBand="1" w:val="04A0"/>
      </w:tblPr>
      <w:tblGrid>
        <w:gridCol w:w="2498"/>
        <w:gridCol w:w="2498"/>
        <w:gridCol w:w="2498"/>
        <w:gridCol w:w="2498"/>
      </w:tblGrid>
      <w:tr>
        <w:trPr>
          <w:trHeight w:hRule="atLeast"/>
          <w:tblHeader w:val="true"/>
        </w:trPr>
        <w:tc>
          <w:tcPr>
            <w:tcW w:type="dxa" w:w="2498"/>
            <w:shd w:fill="17365D"/>
            <w:tcMar>
              <w:top w:w="90" w:type="dxa"/>
              <w:start w:w="90" w:type="dxa"/>
              <w:bottom w:w="90" w:type="dxa"/>
              <w:end w:w="90" w:type="dxa"/>
            </w:tcMar>
            <w:vAlign w:val="center"/>
          </w:tcPr>
          <w:p>
            <w:r>
              <w:rPr>
                <w:b/>
                <w:color w:val="FFFFFF"/>
                <w:sz w:val="17"/>
              </w:rPr>
              <w:t>Query</w:t>
            </w:r>
          </w:p>
        </w:tc>
        <w:tc>
          <w:tcPr>
            <w:tcW w:type="dxa" w:w="2498"/>
            <w:shd w:fill="17365D"/>
            <w:tcMar>
              <w:top w:w="90" w:type="dxa"/>
              <w:start w:w="90" w:type="dxa"/>
              <w:bottom w:w="90" w:type="dxa"/>
              <w:end w:w="90" w:type="dxa"/>
            </w:tcMar>
            <w:vAlign w:val="center"/>
          </w:tcPr>
          <w:p>
            <w:r>
              <w:rPr>
                <w:b/>
                <w:color w:val="FFFFFF"/>
                <w:sz w:val="17"/>
              </w:rPr>
              <w:t>Raw information gain</w:t>
            </w:r>
          </w:p>
        </w:tc>
        <w:tc>
          <w:tcPr>
            <w:tcW w:type="dxa" w:w="2498"/>
            <w:shd w:fill="17365D"/>
            <w:tcMar>
              <w:top w:w="90" w:type="dxa"/>
              <w:start w:w="90" w:type="dxa"/>
              <w:bottom w:w="90" w:type="dxa"/>
              <w:end w:w="90" w:type="dxa"/>
            </w:tcMar>
            <w:vAlign w:val="center"/>
          </w:tcPr>
          <w:p>
            <w:r>
              <w:rPr>
                <w:b/>
                <w:color w:val="FFFFFF"/>
                <w:sz w:val="17"/>
              </w:rPr>
              <w:t>Reliability</w:t>
            </w:r>
          </w:p>
        </w:tc>
        <w:tc>
          <w:tcPr>
            <w:tcW w:type="dxa" w:w="2498"/>
            <w:shd w:fill="17365D"/>
            <w:tcMar>
              <w:top w:w="90" w:type="dxa"/>
              <w:start w:w="90" w:type="dxa"/>
              <w:bottom w:w="90" w:type="dxa"/>
              <w:end w:w="90" w:type="dxa"/>
            </w:tcMar>
            <w:vAlign w:val="center"/>
          </w:tcPr>
          <w:p>
            <w:r>
              <w:rPr>
                <w:b/>
                <w:color w:val="FFFFFF"/>
                <w:sz w:val="17"/>
              </w:rPr>
              <w:t>Reliability-adjusted value</w:t>
            </w:r>
          </w:p>
        </w:tc>
      </w:tr>
      <w:tr>
        <w:trPr>
          <w:trHeight w:hRule="atLeast"/>
        </w:trPr>
        <w:tc>
          <w:tcPr>
            <w:tcW w:type="dxa" w:w="2498"/>
            <w:tcMar>
              <w:top w:w="90" w:type="dxa"/>
              <w:start w:w="90" w:type="dxa"/>
              <w:bottom w:w="90" w:type="dxa"/>
              <w:end w:w="90" w:type="dxa"/>
            </w:tcMar>
            <w:vAlign w:val="center"/>
          </w:tcPr>
          <w:p>
            <w:r>
              <w:rPr>
                <w:sz w:val="18"/>
              </w:rPr>
              <w:t>Authentication</w:t>
            </w:r>
          </w:p>
        </w:tc>
        <w:tc>
          <w:tcPr>
            <w:tcW w:type="dxa" w:w="2498"/>
            <w:tcMar>
              <w:top w:w="90" w:type="dxa"/>
              <w:start w:w="90" w:type="dxa"/>
              <w:bottom w:w="90" w:type="dxa"/>
              <w:end w:w="90" w:type="dxa"/>
            </w:tcMar>
            <w:vAlign w:val="center"/>
          </w:tcPr>
          <w:p>
            <w:r>
              <w:rPr>
                <w:sz w:val="18"/>
              </w:rPr>
              <w:t>0.296</w:t>
            </w:r>
          </w:p>
        </w:tc>
        <w:tc>
          <w:tcPr>
            <w:tcW w:type="dxa" w:w="2498"/>
            <w:tcMar>
              <w:top w:w="90" w:type="dxa"/>
              <w:start w:w="90" w:type="dxa"/>
              <w:bottom w:w="90" w:type="dxa"/>
              <w:end w:w="90" w:type="dxa"/>
            </w:tcMar>
            <w:vAlign w:val="center"/>
          </w:tcPr>
          <w:p>
            <w:r>
              <w:rPr>
                <w:sz w:val="18"/>
              </w:rPr>
              <w:t>0.95</w:t>
            </w:r>
          </w:p>
        </w:tc>
        <w:tc>
          <w:tcPr>
            <w:tcW w:type="dxa" w:w="2498"/>
            <w:tcMar>
              <w:top w:w="90" w:type="dxa"/>
              <w:start w:w="90" w:type="dxa"/>
              <w:bottom w:w="90" w:type="dxa"/>
              <w:end w:w="90" w:type="dxa"/>
            </w:tcMar>
            <w:vAlign w:val="center"/>
          </w:tcPr>
          <w:p>
            <w:r>
              <w:rPr>
                <w:sz w:val="18"/>
              </w:rPr>
              <w:t>0.281</w:t>
            </w:r>
          </w:p>
        </w:tc>
      </w:tr>
      <w:tr>
        <w:trPr>
          <w:trHeight w:hRule="atLeast"/>
        </w:trPr>
        <w:tc>
          <w:tcPr>
            <w:tcW w:type="dxa" w:w="2498"/>
            <w:tcMar>
              <w:top w:w="90" w:type="dxa"/>
              <w:start w:w="90" w:type="dxa"/>
              <w:bottom w:w="90" w:type="dxa"/>
              <w:end w:w="90" w:type="dxa"/>
            </w:tcMar>
            <w:vAlign w:val="center"/>
          </w:tcPr>
          <w:p>
            <w:r>
              <w:rPr>
                <w:sz w:val="18"/>
              </w:rPr>
              <w:t>Process tree</w:t>
            </w:r>
          </w:p>
        </w:tc>
        <w:tc>
          <w:tcPr>
            <w:tcW w:type="dxa" w:w="2498"/>
            <w:tcMar>
              <w:top w:w="90" w:type="dxa"/>
              <w:start w:w="90" w:type="dxa"/>
              <w:bottom w:w="90" w:type="dxa"/>
              <w:end w:w="90" w:type="dxa"/>
            </w:tcMar>
            <w:vAlign w:val="center"/>
          </w:tcPr>
          <w:p>
            <w:r>
              <w:rPr>
                <w:sz w:val="18"/>
              </w:rPr>
              <w:t>0.309</w:t>
            </w:r>
          </w:p>
        </w:tc>
        <w:tc>
          <w:tcPr>
            <w:tcW w:type="dxa" w:w="2498"/>
            <w:tcMar>
              <w:top w:w="90" w:type="dxa"/>
              <w:start w:w="90" w:type="dxa"/>
              <w:bottom w:w="90" w:type="dxa"/>
              <w:end w:w="90" w:type="dxa"/>
            </w:tcMar>
            <w:vAlign w:val="center"/>
          </w:tcPr>
          <w:p>
            <w:r>
              <w:rPr>
                <w:sz w:val="18"/>
              </w:rPr>
              <w:t>0.45</w:t>
            </w:r>
          </w:p>
        </w:tc>
        <w:tc>
          <w:tcPr>
            <w:tcW w:type="dxa" w:w="2498"/>
            <w:tcMar>
              <w:top w:w="90" w:type="dxa"/>
              <w:start w:w="90" w:type="dxa"/>
              <w:bottom w:w="90" w:type="dxa"/>
              <w:end w:w="90" w:type="dxa"/>
            </w:tcMar>
            <w:vAlign w:val="center"/>
          </w:tcPr>
          <w:p>
            <w:r>
              <w:rPr>
                <w:sz w:val="18"/>
              </w:rPr>
              <w:t>0.139</w:t>
            </w:r>
          </w:p>
        </w:tc>
      </w:tr>
      <w:tr>
        <w:trPr>
          <w:trHeight w:hRule="atLeast"/>
        </w:trPr>
        <w:tc>
          <w:tcPr>
            <w:tcW w:type="dxa" w:w="2498"/>
            <w:tcMar>
              <w:top w:w="90" w:type="dxa"/>
              <w:start w:w="90" w:type="dxa"/>
              <w:bottom w:w="90" w:type="dxa"/>
              <w:end w:w="90" w:type="dxa"/>
            </w:tcMar>
            <w:vAlign w:val="center"/>
          </w:tcPr>
          <w:p>
            <w:r>
              <w:rPr>
                <w:sz w:val="18"/>
              </w:rPr>
              <w:t>DNS</w:t>
            </w:r>
          </w:p>
        </w:tc>
        <w:tc>
          <w:tcPr>
            <w:tcW w:type="dxa" w:w="2498"/>
            <w:tcMar>
              <w:top w:w="90" w:type="dxa"/>
              <w:start w:w="90" w:type="dxa"/>
              <w:bottom w:w="90" w:type="dxa"/>
              <w:end w:w="90" w:type="dxa"/>
            </w:tcMar>
            <w:vAlign w:val="center"/>
          </w:tcPr>
          <w:p>
            <w:r>
              <w:rPr>
                <w:sz w:val="18"/>
              </w:rPr>
              <w:t>0.027</w:t>
            </w:r>
          </w:p>
        </w:tc>
        <w:tc>
          <w:tcPr>
            <w:tcW w:type="dxa" w:w="2498"/>
            <w:tcMar>
              <w:top w:w="90" w:type="dxa"/>
              <w:start w:w="90" w:type="dxa"/>
              <w:bottom w:w="90" w:type="dxa"/>
              <w:end w:w="90" w:type="dxa"/>
            </w:tcMar>
            <w:vAlign w:val="center"/>
          </w:tcPr>
          <w:p>
            <w:r>
              <w:rPr>
                <w:sz w:val="18"/>
              </w:rPr>
              <w:t>0.85</w:t>
            </w:r>
          </w:p>
        </w:tc>
        <w:tc>
          <w:tcPr>
            <w:tcW w:type="dxa" w:w="2498"/>
            <w:tcMar>
              <w:top w:w="90" w:type="dxa"/>
              <w:start w:w="90" w:type="dxa"/>
              <w:bottom w:w="90" w:type="dxa"/>
              <w:end w:w="90" w:type="dxa"/>
            </w:tcMar>
            <w:vAlign w:val="center"/>
          </w:tcPr>
          <w:p>
            <w:r>
              <w:rPr>
                <w:sz w:val="18"/>
              </w:rPr>
              <w:t>0.023</w:t>
            </w:r>
          </w:p>
        </w:tc>
      </w:tr>
    </w:tbl>
    <w:p>
      <w:r>
        <w:t>Under raw information gain, Process Tree wins (0.309 &gt; 0.296). Under a simple reliability-adjusted objective, Authentication wins (0.281 &gt; 0.139). The example does not prove HADES works; it proves only that a reliability term can change query order. The full benchmark must determine whether those changed choices are actually better for cyber investigation.</w:t>
      </w:r>
    </w:p>
    <w:p>
      <w:pPr>
        <w:pStyle w:val="Heading1"/>
      </w:pPr>
      <w:r>
        <w:t>7. Formal Model</w:t>
      </w:r>
    </w:p>
    <w:p>
      <w:r>
        <w:t>At investigation step t, maintain a belief distribution over competing hypotheses H_t. Let Q_t be the currently available evidence-acquisition actions. Each query has measurable or estimated cost, latency, reliability, and manipulation risk.</w:t>
      </w:r>
    </w:p>
    <w:p>
      <w:pPr>
        <w:spacing w:after="60"/>
        <w:ind w:left="504"/>
      </w:pPr>
      <w:r>
        <w:rPr>
          <w:rFonts w:ascii="Consolas" w:hAnsi="Consolas"/>
          <w:b/>
          <w:sz w:val="20"/>
        </w:rPr>
        <w:t>H_t = {P(h_1), P(h_2), …, P(h_k)}</w:t>
      </w:r>
    </w:p>
    <w:p>
      <w:pPr>
        <w:spacing w:after="60"/>
        <w:ind w:left="504"/>
      </w:pPr>
      <w:r>
        <w:rPr>
          <w:rFonts w:ascii="Consolas" w:hAnsi="Consolas"/>
          <w:b/>
          <w:sz w:val="20"/>
        </w:rPr>
        <w:t>q_i = (Cost_i, Latency_i, Reliability_i, ManipulationRisk_i)</w:t>
      </w:r>
    </w:p>
    <w:p>
      <w:pPr>
        <w:spacing w:after="60"/>
        <w:ind w:left="504"/>
      </w:pPr>
      <w:r>
        <w:rPr>
          <w:rFonts w:ascii="Consolas" w:hAnsi="Consolas"/>
          <w:b/>
          <w:sz w:val="20"/>
        </w:rPr>
        <w:t>q* = argmax_q U(q | H_t)</w:t>
      </w:r>
    </w:p>
    <w:p>
      <w:pPr>
        <w:spacing w:after="60"/>
        <w:ind w:left="504"/>
      </w:pPr>
      <w:r>
        <w:rPr>
          <w:rFonts w:ascii="Consolas" w:hAnsi="Consolas"/>
          <w:b/>
          <w:sz w:val="20"/>
        </w:rPr>
        <w:t>U(q | H_t) ≈ ExpectedReliableHypothesisGain(q) − λ·Cost(q) − μ·ManipulationRisk(q)</w:t>
      </w:r>
    </w:p>
    <w:p>
      <w:pPr>
        <w:spacing w:after="60"/>
        <w:ind w:left="504"/>
      </w:pPr>
      <w:r>
        <w:rPr>
          <w:rFonts w:ascii="Consolas" w:hAnsi="Consolas"/>
          <w:b/>
          <w:sz w:val="20"/>
        </w:rPr>
        <w:t>H_(t+1) = Update(H_t, e_t)</w:t>
      </w:r>
    </w:p>
    <w:p>
      <w:pPr>
        <w:spacing w:after="60"/>
        <w:ind w:left="504"/>
      </w:pPr>
      <w:r>
        <w:rPr>
          <w:rFonts w:ascii="Consolas" w:hAnsi="Consolas"/>
          <w:b/>
          <w:sz w:val="20"/>
        </w:rPr>
        <w:t>STOP when max_q U(q | H_t) &lt; τ</w:t>
      </w:r>
    </w:p>
    <w:p>
      <w:r>
        <w:t>The first implementation should intentionally avoid an elaborate mathematical model. Start with transparent policy variants and only add reliability/adversarial terms that are justified by the ablation results. This prevents complexity from masquerading as novelty.</w:t>
      </w:r>
    </w:p>
    <w:p>
      <w:pPr>
        <w:pStyle w:val="Heading1"/>
      </w:pPr>
      <w:r>
        <w:t>8. Threat Model</w:t>
      </w:r>
    </w:p>
    <w:p>
      <w:pPr>
        <w:pStyle w:val="Heading2"/>
      </w:pPr>
      <w:r>
        <w:t>8.1 Attacker capabilities</w:t>
      </w:r>
    </w:p>
    <w:p>
      <w:pPr>
        <w:pStyle w:val="ListBullet"/>
      </w:pPr>
      <w:r>
        <w:t>Generate attacker-controlled application/log records.</w:t>
      </w:r>
    </w:p>
    <w:p>
      <w:pPr>
        <w:pStyle w:val="ListBullet"/>
      </w:pPr>
      <w:r>
        <w:t>Influence selected telemetry emitted by compromised hosts where the benchmark permits it.</w:t>
      </w:r>
    </w:p>
    <w:p>
      <w:pPr>
        <w:pStyle w:val="ListBullet"/>
      </w:pPr>
      <w:r>
        <w:t>Suppress selected classes of attacker-generated evidence in controlled experiments.</w:t>
      </w:r>
    </w:p>
    <w:p>
      <w:pPr>
        <w:pStyle w:val="ListBullet"/>
      </w:pPr>
      <w:r>
        <w:t>Generate benign-looking or contradictory activity intended to shift investigation toward a wrong hypothesis.</w:t>
      </w:r>
    </w:p>
    <w:p>
      <w:pPr>
        <w:pStyle w:val="ListBullet"/>
      </w:pPr>
      <w:r>
        <w:t>In the strongest condition, adapt manipulation to the investigation policy being evaluated.</w:t>
      </w:r>
    </w:p>
    <w:p>
      <w:pPr>
        <w:pStyle w:val="Heading2"/>
      </w:pPr>
      <w:r>
        <w:t>8.2 Out of scope</w:t>
      </w:r>
    </w:p>
    <w:p>
      <w:pPr>
        <w:pStyle w:val="ListBullet"/>
      </w:pPr>
      <w:r>
        <w:t>The attacker cannot alter benchmark ground truth or evaluation code.</w:t>
      </w:r>
    </w:p>
    <w:p>
      <w:pPr>
        <w:pStyle w:val="ListBullet"/>
      </w:pPr>
      <w:r>
        <w:t>The attacker cannot modify trusted defender-only telemetry unless that capability is explicitly included in the experiment.</w:t>
      </w:r>
    </w:p>
    <w:p>
      <w:pPr>
        <w:pStyle w:val="ListBullet"/>
      </w:pPr>
      <w:r>
        <w:t>No public infrastructure or third-party system should be attacked.</w:t>
      </w:r>
    </w:p>
    <w:p>
      <w:pPr>
        <w:pStyle w:val="ListBullet"/>
      </w:pPr>
      <w:r>
        <w:t>No claim should be made that laboratory telemetry manipulation perfectly reproduces production compromise.</w:t>
      </w:r>
    </w:p>
    <w:p>
      <w:pPr>
        <w:pStyle w:val="Heading1"/>
      </w:pPr>
      <w:r>
        <w:t>9. Experimental Protocol</w:t>
      </w:r>
    </w:p>
    <w:p>
      <w:pPr>
        <w:pStyle w:val="Heading2"/>
      </w:pPr>
      <w:r>
        <w:t>9.1 Primary environment</w:t>
      </w:r>
    </w:p>
    <w:p>
      <w:r>
        <w:t>Use the Cyber Defense Benchmark as the first experimental substrate. CDB provides deterministic attack campaigns, raw Windows-event telemetry, a query interface, a finite investigation budget and ground-truth malicious events. This avoids spending the first months inventing a benchmark while still allowing a HADES-specific evaluation layer.</w:t>
      </w:r>
    </w:p>
    <w:p>
      <w:pPr>
        <w:pStyle w:val="Heading2"/>
      </w:pPr>
      <w:r>
        <w:t>9.2 Stress regimes</w:t>
      </w:r>
    </w:p>
    <w:tbl>
      <w:tblPr>
        <w:tblStyle w:val="TableGrid"/>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7365D"/>
            <w:tcMar>
              <w:top w:w="90" w:type="dxa"/>
              <w:start w:w="90" w:type="dxa"/>
              <w:bottom w:w="90" w:type="dxa"/>
              <w:end w:w="90" w:type="dxa"/>
            </w:tcMar>
            <w:vAlign w:val="center"/>
          </w:tcPr>
          <w:p>
            <w:r>
              <w:rPr>
                <w:b/>
                <w:color w:val="FFFFFF"/>
                <w:sz w:val="18"/>
              </w:rPr>
              <w:t>Regime</w:t>
            </w:r>
          </w:p>
        </w:tc>
        <w:tc>
          <w:tcPr>
            <w:tcW w:type="dxa" w:w="4997"/>
            <w:shd w:fill="17365D"/>
            <w:tcMar>
              <w:top w:w="90" w:type="dxa"/>
              <w:start w:w="90" w:type="dxa"/>
              <w:bottom w:w="90" w:type="dxa"/>
              <w:end w:w="90" w:type="dxa"/>
            </w:tcMar>
            <w:vAlign w:val="center"/>
          </w:tcPr>
          <w:p>
            <w:r>
              <w:rPr>
                <w:b/>
                <w:color w:val="FFFFFF"/>
                <w:sz w:val="18"/>
              </w:rPr>
              <w:t>Definition</w:t>
            </w:r>
          </w:p>
        </w:tc>
      </w:tr>
      <w:tr>
        <w:trPr>
          <w:trHeight w:hRule="atLeast"/>
        </w:trPr>
        <w:tc>
          <w:tcPr>
            <w:tcW w:type="dxa" w:w="4997"/>
            <w:shd w:fill="F5F8FB"/>
            <w:tcMar>
              <w:top w:w="90" w:type="dxa"/>
              <w:start w:w="90" w:type="dxa"/>
              <w:bottom w:w="90" w:type="dxa"/>
              <w:end w:w="90" w:type="dxa"/>
            </w:tcMar>
            <w:vAlign w:val="center"/>
          </w:tcPr>
          <w:p>
            <w:r>
              <w:t>R0 — Clean</w:t>
            </w:r>
          </w:p>
        </w:tc>
        <w:tc>
          <w:tcPr>
            <w:tcW w:type="dxa" w:w="4997"/>
            <w:tcMar>
              <w:top w:w="90" w:type="dxa"/>
              <w:start w:w="90" w:type="dxa"/>
              <w:bottom w:w="90" w:type="dxa"/>
              <w:end w:w="90" w:type="dxa"/>
            </w:tcMar>
            <w:vAlign w:val="center"/>
          </w:tcPr>
          <w:p>
            <w:r>
              <w:t>Original benchmark conditions.</w:t>
            </w:r>
          </w:p>
        </w:tc>
      </w:tr>
      <w:tr>
        <w:trPr>
          <w:trHeight w:hRule="atLeast"/>
        </w:trPr>
        <w:tc>
          <w:tcPr>
            <w:tcW w:type="dxa" w:w="4997"/>
            <w:shd w:fill="F5F8FB"/>
            <w:tcMar>
              <w:top w:w="90" w:type="dxa"/>
              <w:start w:w="90" w:type="dxa"/>
              <w:bottom w:w="90" w:type="dxa"/>
              <w:end w:w="90" w:type="dxa"/>
            </w:tcMar>
            <w:vAlign w:val="center"/>
          </w:tcPr>
          <w:p>
            <w:r>
              <w:t>R1 — Missing</w:t>
            </w:r>
          </w:p>
        </w:tc>
        <w:tc>
          <w:tcPr>
            <w:tcW w:type="dxa" w:w="4997"/>
            <w:tcMar>
              <w:top w:w="90" w:type="dxa"/>
              <w:start w:w="90" w:type="dxa"/>
              <w:bottom w:w="90" w:type="dxa"/>
              <w:end w:w="90" w:type="dxa"/>
            </w:tcMar>
            <w:vAlign w:val="center"/>
          </w:tcPr>
          <w:p>
            <w:r>
              <w:t>Controlled removal of selected telemetry classes.</w:t>
            </w:r>
          </w:p>
        </w:tc>
      </w:tr>
      <w:tr>
        <w:trPr>
          <w:trHeight w:hRule="atLeast"/>
        </w:trPr>
        <w:tc>
          <w:tcPr>
            <w:tcW w:type="dxa" w:w="4997"/>
            <w:shd w:fill="F5F8FB"/>
            <w:tcMar>
              <w:top w:w="90" w:type="dxa"/>
              <w:start w:w="90" w:type="dxa"/>
              <w:bottom w:w="90" w:type="dxa"/>
              <w:end w:w="90" w:type="dxa"/>
            </w:tcMar>
            <w:vAlign w:val="center"/>
          </w:tcPr>
          <w:p>
            <w:r>
              <w:t>R2 — Stale</w:t>
            </w:r>
          </w:p>
        </w:tc>
        <w:tc>
          <w:tcPr>
            <w:tcW w:type="dxa" w:w="4997"/>
            <w:tcMar>
              <w:top w:w="90" w:type="dxa"/>
              <w:start w:w="90" w:type="dxa"/>
              <w:bottom w:w="90" w:type="dxa"/>
              <w:end w:w="90" w:type="dxa"/>
            </w:tcMar>
            <w:vAlign w:val="center"/>
          </w:tcPr>
          <w:p>
            <w:r>
              <w:t>Insertion of valid historical records into a current investigation context.</w:t>
            </w:r>
          </w:p>
        </w:tc>
      </w:tr>
      <w:tr>
        <w:trPr>
          <w:trHeight w:hRule="atLeast"/>
        </w:trPr>
        <w:tc>
          <w:tcPr>
            <w:tcW w:type="dxa" w:w="4997"/>
            <w:shd w:fill="F5F8FB"/>
            <w:tcMar>
              <w:top w:w="90" w:type="dxa"/>
              <w:start w:w="90" w:type="dxa"/>
              <w:bottom w:w="90" w:type="dxa"/>
              <w:end w:w="90" w:type="dxa"/>
            </w:tcMar>
            <w:vAlign w:val="center"/>
          </w:tcPr>
          <w:p>
            <w:r>
              <w:t>R3 — Misleading</w:t>
            </w:r>
          </w:p>
        </w:tc>
        <w:tc>
          <w:tcPr>
            <w:tcW w:type="dxa" w:w="4997"/>
            <w:tcMar>
              <w:top w:w="90" w:type="dxa"/>
              <w:start w:w="90" w:type="dxa"/>
              <w:bottom w:w="90" w:type="dxa"/>
              <w:end w:w="90" w:type="dxa"/>
            </w:tcMar>
            <w:vAlign w:val="center"/>
          </w:tcPr>
          <w:p>
            <w:r>
              <w:t>Plausible records that favor an incorrect competing hypothesis.</w:t>
            </w:r>
          </w:p>
        </w:tc>
      </w:tr>
      <w:tr>
        <w:trPr>
          <w:trHeight w:hRule="atLeast"/>
        </w:trPr>
        <w:tc>
          <w:tcPr>
            <w:tcW w:type="dxa" w:w="4997"/>
            <w:shd w:fill="F5F8FB"/>
            <w:tcMar>
              <w:top w:w="90" w:type="dxa"/>
              <w:start w:w="90" w:type="dxa"/>
              <w:bottom w:w="90" w:type="dxa"/>
              <w:end w:w="90" w:type="dxa"/>
            </w:tcMar>
            <w:vAlign w:val="center"/>
          </w:tcPr>
          <w:p>
            <w:r>
              <w:t>R4 — Targeted</w:t>
            </w:r>
          </w:p>
        </w:tc>
        <w:tc>
          <w:tcPr>
            <w:tcW w:type="dxa" w:w="4997"/>
            <w:tcMar>
              <w:top w:w="90" w:type="dxa"/>
              <w:start w:w="90" w:type="dxa"/>
              <w:bottom w:w="90" w:type="dxa"/>
              <w:end w:w="90" w:type="dxa"/>
            </w:tcMar>
            <w:vAlign w:val="center"/>
          </w:tcPr>
          <w:p>
            <w:r>
              <w:t>Manipulation focused on the evidence source most likely to be selected next.</w:t>
            </w:r>
          </w:p>
        </w:tc>
      </w:tr>
    </w:tbl>
    <w:p>
      <w:pPr>
        <w:pStyle w:val="Heading2"/>
      </w:pPr>
      <w:r>
        <w:t>9.3 Policy ladder</w:t>
      </w:r>
    </w:p>
    <w:tbl>
      <w:tblPr>
        <w:tblStyle w:val="TableGrid"/>
        <w:tblW w:type="auto" w:w="0"/>
        <w:jc w:val="center"/>
        <w:tblLook w:firstColumn="1" w:firstRow="1" w:lastColumn="0" w:lastRow="0" w:noHBand="0" w:noVBand="1" w:val="04A0"/>
      </w:tblPr>
      <w:tblGrid>
        <w:gridCol w:w="3331"/>
        <w:gridCol w:w="3331"/>
        <w:gridCol w:w="3331"/>
      </w:tblGrid>
      <w:tr>
        <w:trPr>
          <w:trHeight w:hRule="atLeast"/>
          <w:tblHeader w:val="true"/>
        </w:trPr>
        <w:tc>
          <w:tcPr>
            <w:tcW w:type="dxa" w:w="3331"/>
            <w:shd w:fill="17365D"/>
            <w:tcMar>
              <w:top w:w="90" w:type="dxa"/>
              <w:start w:w="90" w:type="dxa"/>
              <w:bottom w:w="90" w:type="dxa"/>
              <w:end w:w="90" w:type="dxa"/>
            </w:tcMar>
            <w:vAlign w:val="center"/>
          </w:tcPr>
          <w:p>
            <w:r>
              <w:rPr>
                <w:b/>
                <w:color w:val="FFFFFF"/>
                <w:sz w:val="17"/>
              </w:rPr>
              <w:t>ID</w:t>
            </w:r>
          </w:p>
        </w:tc>
        <w:tc>
          <w:tcPr>
            <w:tcW w:type="dxa" w:w="3331"/>
            <w:shd w:fill="17365D"/>
            <w:tcMar>
              <w:top w:w="90" w:type="dxa"/>
              <w:start w:w="90" w:type="dxa"/>
              <w:bottom w:w="90" w:type="dxa"/>
              <w:end w:w="90" w:type="dxa"/>
            </w:tcMar>
            <w:vAlign w:val="center"/>
          </w:tcPr>
          <w:p>
            <w:r>
              <w:rPr>
                <w:b/>
                <w:color w:val="FFFFFF"/>
                <w:sz w:val="17"/>
              </w:rPr>
              <w:t>Policy</w:t>
            </w:r>
          </w:p>
        </w:tc>
        <w:tc>
          <w:tcPr>
            <w:tcW w:type="dxa" w:w="3331"/>
            <w:shd w:fill="17365D"/>
            <w:tcMar>
              <w:top w:w="90" w:type="dxa"/>
              <w:start w:w="90" w:type="dxa"/>
              <w:bottom w:w="90" w:type="dxa"/>
              <w:end w:w="90" w:type="dxa"/>
            </w:tcMar>
            <w:vAlign w:val="center"/>
          </w:tcPr>
          <w:p>
            <w:r>
              <w:rPr>
                <w:b/>
                <w:color w:val="FFFFFF"/>
                <w:sz w:val="17"/>
              </w:rPr>
              <w:t>Purpose</w:t>
            </w:r>
          </w:p>
        </w:tc>
      </w:tr>
      <w:tr>
        <w:trPr>
          <w:trHeight w:hRule="atLeast"/>
        </w:trPr>
        <w:tc>
          <w:tcPr>
            <w:tcW w:type="dxa" w:w="3331"/>
            <w:tcMar>
              <w:top w:w="90" w:type="dxa"/>
              <w:start w:w="90" w:type="dxa"/>
              <w:bottom w:w="90" w:type="dxa"/>
              <w:end w:w="90" w:type="dxa"/>
            </w:tcMar>
            <w:vAlign w:val="center"/>
          </w:tcPr>
          <w:p>
            <w:r>
              <w:rPr>
                <w:sz w:val="16"/>
              </w:rPr>
              <w:t>P0</w:t>
            </w:r>
          </w:p>
        </w:tc>
        <w:tc>
          <w:tcPr>
            <w:tcW w:type="dxa" w:w="3331"/>
            <w:tcMar>
              <w:top w:w="90" w:type="dxa"/>
              <w:start w:w="90" w:type="dxa"/>
              <w:bottom w:w="90" w:type="dxa"/>
              <w:end w:w="90" w:type="dxa"/>
            </w:tcMar>
            <w:vAlign w:val="center"/>
          </w:tcPr>
          <w:p>
            <w:r>
              <w:rPr>
                <w:sz w:val="16"/>
              </w:rPr>
              <w:t>Random</w:t>
            </w:r>
          </w:p>
        </w:tc>
        <w:tc>
          <w:tcPr>
            <w:tcW w:type="dxa" w:w="3331"/>
            <w:tcMar>
              <w:top w:w="90" w:type="dxa"/>
              <w:start w:w="90" w:type="dxa"/>
              <w:bottom w:w="90" w:type="dxa"/>
              <w:end w:w="90" w:type="dxa"/>
            </w:tcMar>
            <w:vAlign w:val="center"/>
          </w:tcPr>
          <w:p>
            <w:r>
              <w:rPr>
                <w:sz w:val="16"/>
              </w:rPr>
              <w:t>Random valid query.</w:t>
            </w:r>
          </w:p>
        </w:tc>
      </w:tr>
      <w:tr>
        <w:trPr>
          <w:trHeight w:hRule="atLeast"/>
        </w:trPr>
        <w:tc>
          <w:tcPr>
            <w:tcW w:type="dxa" w:w="3331"/>
            <w:tcMar>
              <w:top w:w="90" w:type="dxa"/>
              <w:start w:w="90" w:type="dxa"/>
              <w:bottom w:w="90" w:type="dxa"/>
              <w:end w:w="90" w:type="dxa"/>
            </w:tcMar>
            <w:vAlign w:val="center"/>
          </w:tcPr>
          <w:p>
            <w:r>
              <w:rPr>
                <w:sz w:val="16"/>
              </w:rPr>
              <w:t>P1</w:t>
            </w:r>
          </w:p>
        </w:tc>
        <w:tc>
          <w:tcPr>
            <w:tcW w:type="dxa" w:w="3331"/>
            <w:tcMar>
              <w:top w:w="90" w:type="dxa"/>
              <w:start w:w="90" w:type="dxa"/>
              <w:bottom w:w="90" w:type="dxa"/>
              <w:end w:w="90" w:type="dxa"/>
            </w:tcMar>
            <w:vAlign w:val="center"/>
          </w:tcPr>
          <w:p>
            <w:r>
              <w:rPr>
                <w:sz w:val="16"/>
              </w:rPr>
              <w:t>Fixed expert</w:t>
            </w:r>
          </w:p>
        </w:tc>
        <w:tc>
          <w:tcPr>
            <w:tcW w:type="dxa" w:w="3331"/>
            <w:tcMar>
              <w:top w:w="90" w:type="dxa"/>
              <w:start w:w="90" w:type="dxa"/>
              <w:bottom w:w="90" w:type="dxa"/>
              <w:end w:w="90" w:type="dxa"/>
            </w:tcMar>
            <w:vAlign w:val="center"/>
          </w:tcPr>
          <w:p>
            <w:r>
              <w:rPr>
                <w:sz w:val="16"/>
              </w:rPr>
              <w:t>Predefined operational query order.</w:t>
            </w:r>
          </w:p>
        </w:tc>
      </w:tr>
      <w:tr>
        <w:trPr>
          <w:trHeight w:hRule="atLeast"/>
        </w:trPr>
        <w:tc>
          <w:tcPr>
            <w:tcW w:type="dxa" w:w="3331"/>
            <w:tcMar>
              <w:top w:w="90" w:type="dxa"/>
              <w:start w:w="90" w:type="dxa"/>
              <w:bottom w:w="90" w:type="dxa"/>
              <w:end w:w="90" w:type="dxa"/>
            </w:tcMar>
            <w:vAlign w:val="center"/>
          </w:tcPr>
          <w:p>
            <w:r>
              <w:rPr>
                <w:sz w:val="16"/>
              </w:rPr>
              <w:t>P2</w:t>
            </w:r>
          </w:p>
        </w:tc>
        <w:tc>
          <w:tcPr>
            <w:tcW w:type="dxa" w:w="3331"/>
            <w:tcMar>
              <w:top w:w="90" w:type="dxa"/>
              <w:start w:w="90" w:type="dxa"/>
              <w:bottom w:w="90" w:type="dxa"/>
              <w:end w:w="90" w:type="dxa"/>
            </w:tcMar>
            <w:vAlign w:val="center"/>
          </w:tcPr>
          <w:p>
            <w:r>
              <w:rPr>
                <w:sz w:val="16"/>
              </w:rPr>
              <w:t>Relevance</w:t>
            </w:r>
          </w:p>
        </w:tc>
        <w:tc>
          <w:tcPr>
            <w:tcW w:type="dxa" w:w="3331"/>
            <w:tcMar>
              <w:top w:w="90" w:type="dxa"/>
              <w:start w:w="90" w:type="dxa"/>
              <w:bottom w:w="90" w:type="dxa"/>
              <w:end w:w="90" w:type="dxa"/>
            </w:tcMar>
            <w:vAlign w:val="center"/>
          </w:tcPr>
          <w:p>
            <w:r>
              <w:rPr>
                <w:sz w:val="16"/>
              </w:rPr>
              <w:t>Select query based on relevance to the current hypothesis.</w:t>
            </w:r>
          </w:p>
        </w:tc>
      </w:tr>
      <w:tr>
        <w:trPr>
          <w:trHeight w:hRule="atLeast"/>
        </w:trPr>
        <w:tc>
          <w:tcPr>
            <w:tcW w:type="dxa" w:w="3331"/>
            <w:tcMar>
              <w:top w:w="90" w:type="dxa"/>
              <w:start w:w="90" w:type="dxa"/>
              <w:bottom w:w="90" w:type="dxa"/>
              <w:end w:w="90" w:type="dxa"/>
            </w:tcMar>
            <w:vAlign w:val="center"/>
          </w:tcPr>
          <w:p>
            <w:r>
              <w:rPr>
                <w:sz w:val="16"/>
              </w:rPr>
              <w:t>P3</w:t>
            </w:r>
          </w:p>
        </w:tc>
        <w:tc>
          <w:tcPr>
            <w:tcW w:type="dxa" w:w="3331"/>
            <w:tcMar>
              <w:top w:w="90" w:type="dxa"/>
              <w:start w:w="90" w:type="dxa"/>
              <w:bottom w:w="90" w:type="dxa"/>
              <w:end w:w="90" w:type="dxa"/>
            </w:tcMar>
            <w:vAlign w:val="center"/>
          </w:tcPr>
          <w:p>
            <w:r>
              <w:rPr>
                <w:sz w:val="16"/>
              </w:rPr>
              <w:t>Information gain</w:t>
            </w:r>
          </w:p>
        </w:tc>
        <w:tc>
          <w:tcPr>
            <w:tcW w:type="dxa" w:w="3331"/>
            <w:tcMar>
              <w:top w:w="90" w:type="dxa"/>
              <w:start w:w="90" w:type="dxa"/>
              <w:bottom w:w="90" w:type="dxa"/>
              <w:end w:w="90" w:type="dxa"/>
            </w:tcMar>
            <w:vAlign w:val="center"/>
          </w:tcPr>
          <w:p>
            <w:r>
              <w:rPr>
                <w:sz w:val="16"/>
              </w:rPr>
              <w:t>Select query maximizing expected hypothesis information gain.</w:t>
            </w:r>
          </w:p>
        </w:tc>
      </w:tr>
      <w:tr>
        <w:trPr>
          <w:trHeight w:hRule="atLeast"/>
        </w:trPr>
        <w:tc>
          <w:tcPr>
            <w:tcW w:type="dxa" w:w="3331"/>
            <w:tcMar>
              <w:top w:w="90" w:type="dxa"/>
              <w:start w:w="90" w:type="dxa"/>
              <w:bottom w:w="90" w:type="dxa"/>
              <w:end w:w="90" w:type="dxa"/>
            </w:tcMar>
            <w:vAlign w:val="center"/>
          </w:tcPr>
          <w:p>
            <w:r>
              <w:rPr>
                <w:sz w:val="16"/>
              </w:rPr>
              <w:t>P4</w:t>
            </w:r>
          </w:p>
        </w:tc>
        <w:tc>
          <w:tcPr>
            <w:tcW w:type="dxa" w:w="3331"/>
            <w:tcMar>
              <w:top w:w="90" w:type="dxa"/>
              <w:start w:w="90" w:type="dxa"/>
              <w:bottom w:w="90" w:type="dxa"/>
              <w:end w:w="90" w:type="dxa"/>
            </w:tcMar>
            <w:vAlign w:val="center"/>
          </w:tcPr>
          <w:p>
            <w:r>
              <w:rPr>
                <w:sz w:val="16"/>
              </w:rPr>
              <w:t>Information gain / cost</w:t>
            </w:r>
          </w:p>
        </w:tc>
        <w:tc>
          <w:tcPr>
            <w:tcW w:type="dxa" w:w="3331"/>
            <w:tcMar>
              <w:top w:w="90" w:type="dxa"/>
              <w:start w:w="90" w:type="dxa"/>
              <w:bottom w:w="90" w:type="dxa"/>
              <w:end w:w="90" w:type="dxa"/>
            </w:tcMar>
            <w:vAlign w:val="center"/>
          </w:tcPr>
          <w:p>
            <w:r>
              <w:rPr>
                <w:sz w:val="16"/>
              </w:rPr>
              <w:t>Select expected information gain normalized by acquisition cost.</w:t>
            </w:r>
          </w:p>
        </w:tc>
      </w:tr>
      <w:tr>
        <w:trPr>
          <w:trHeight w:hRule="atLeast"/>
        </w:trPr>
        <w:tc>
          <w:tcPr>
            <w:tcW w:type="dxa" w:w="3331"/>
            <w:tcMar>
              <w:top w:w="90" w:type="dxa"/>
              <w:start w:w="90" w:type="dxa"/>
              <w:bottom w:w="90" w:type="dxa"/>
              <w:end w:w="90" w:type="dxa"/>
            </w:tcMar>
            <w:shd w:fill="E2F0D9"/>
            <w:vAlign w:val="center"/>
          </w:tcPr>
          <w:p>
            <w:r>
              <w:rPr>
                <w:sz w:val="16"/>
              </w:rPr>
              <w:t>P5</w:t>
            </w:r>
          </w:p>
        </w:tc>
        <w:tc>
          <w:tcPr>
            <w:tcW w:type="dxa" w:w="3331"/>
            <w:tcMar>
              <w:top w:w="90" w:type="dxa"/>
              <w:start w:w="90" w:type="dxa"/>
              <w:bottom w:w="90" w:type="dxa"/>
              <w:end w:w="90" w:type="dxa"/>
            </w:tcMar>
            <w:shd w:fill="E2F0D9"/>
            <w:vAlign w:val="center"/>
          </w:tcPr>
          <w:p>
            <w:r>
              <w:rPr>
                <w:sz w:val="16"/>
              </w:rPr>
              <w:t>HADES</w:t>
            </w:r>
          </w:p>
        </w:tc>
        <w:tc>
          <w:tcPr>
            <w:tcW w:type="dxa" w:w="3331"/>
            <w:tcMar>
              <w:top w:w="90" w:type="dxa"/>
              <w:start w:w="90" w:type="dxa"/>
              <w:bottom w:w="90" w:type="dxa"/>
              <w:end w:w="90" w:type="dxa"/>
            </w:tcMar>
            <w:shd w:fill="E2F0D9"/>
            <w:vAlign w:val="center"/>
          </w:tcPr>
          <w:p>
            <w:r>
              <w:rPr>
                <w:sz w:val="16"/>
              </w:rPr>
              <w:t>Select expected reliable hypothesis gain while penalizing cost and manipulation risk.</w:t>
            </w:r>
          </w:p>
        </w:tc>
      </w:tr>
      <w:tr>
        <w:trPr>
          <w:trHeight w:hRule="atLeast"/>
        </w:trPr>
        <w:tc>
          <w:tcPr>
            <w:tcW w:type="dxa" w:w="3331"/>
            <w:tcMar>
              <w:top w:w="90" w:type="dxa"/>
              <w:start w:w="90" w:type="dxa"/>
              <w:bottom w:w="90" w:type="dxa"/>
              <w:end w:w="90" w:type="dxa"/>
            </w:tcMar>
            <w:vAlign w:val="center"/>
          </w:tcPr>
          <w:p>
            <w:r>
              <w:rPr>
                <w:sz w:val="16"/>
              </w:rPr>
              <w:t>P6</w:t>
            </w:r>
          </w:p>
        </w:tc>
        <w:tc>
          <w:tcPr>
            <w:tcW w:type="dxa" w:w="3331"/>
            <w:tcMar>
              <w:top w:w="90" w:type="dxa"/>
              <w:start w:w="90" w:type="dxa"/>
              <w:bottom w:w="90" w:type="dxa"/>
              <w:end w:w="90" w:type="dxa"/>
            </w:tcMar>
            <w:vAlign w:val="center"/>
          </w:tcPr>
          <w:p>
            <w:r>
              <w:rPr>
                <w:sz w:val="16"/>
              </w:rPr>
              <w:t>LLM investigator (optional)</w:t>
            </w:r>
          </w:p>
        </w:tc>
        <w:tc>
          <w:tcPr>
            <w:tcW w:type="dxa" w:w="3331"/>
            <w:tcMar>
              <w:top w:w="90" w:type="dxa"/>
              <w:start w:w="90" w:type="dxa"/>
              <w:bottom w:w="90" w:type="dxa"/>
              <w:end w:w="90" w:type="dxa"/>
            </w:tcMar>
            <w:vAlign w:val="center"/>
          </w:tcPr>
          <w:p>
            <w:r>
              <w:rPr>
                <w:sz w:val="16"/>
              </w:rPr>
              <w:t>Independent agent baseline; used as a reference system, not as the research contribution.</w:t>
            </w:r>
          </w:p>
        </w:tc>
      </w:tr>
    </w:tbl>
    <w:p>
      <w:pPr>
        <w:pStyle w:val="Heading1"/>
      </w:pPr>
      <w:r>
        <w:t>10. Evaluation Metrics</w:t>
      </w:r>
    </w:p>
    <w:tbl>
      <w:tblPr>
        <w:tblStyle w:val="TableGrid"/>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7365D"/>
            <w:tcMar>
              <w:top w:w="90" w:type="dxa"/>
              <w:start w:w="90" w:type="dxa"/>
              <w:bottom w:w="90" w:type="dxa"/>
              <w:end w:w="90" w:type="dxa"/>
            </w:tcMar>
            <w:vAlign w:val="center"/>
          </w:tcPr>
          <w:p>
            <w:r>
              <w:rPr>
                <w:b/>
                <w:color w:val="FFFFFF"/>
                <w:sz w:val="18"/>
              </w:rPr>
              <w:t>Metric</w:t>
            </w:r>
          </w:p>
        </w:tc>
        <w:tc>
          <w:tcPr>
            <w:tcW w:type="dxa" w:w="4997"/>
            <w:shd w:fill="17365D"/>
            <w:tcMar>
              <w:top w:w="90" w:type="dxa"/>
              <w:start w:w="90" w:type="dxa"/>
              <w:bottom w:w="90" w:type="dxa"/>
              <w:end w:w="90" w:type="dxa"/>
            </w:tcMar>
            <w:vAlign w:val="center"/>
          </w:tcPr>
          <w:p>
            <w:r>
              <w:rPr>
                <w:b/>
                <w:color w:val="FFFFFF"/>
                <w:sz w:val="18"/>
              </w:rPr>
              <w:t>Purpose</w:t>
            </w:r>
          </w:p>
        </w:tc>
      </w:tr>
      <w:tr>
        <w:trPr>
          <w:trHeight w:hRule="atLeast"/>
        </w:trPr>
        <w:tc>
          <w:tcPr>
            <w:tcW w:type="dxa" w:w="4997"/>
            <w:tcMar>
              <w:top w:w="90" w:type="dxa"/>
              <w:start w:w="90" w:type="dxa"/>
              <w:bottom w:w="90" w:type="dxa"/>
              <w:end w:w="90" w:type="dxa"/>
            </w:tcMar>
            <w:vAlign w:val="center"/>
          </w:tcPr>
          <w:p>
            <w:r>
              <w:rPr>
                <w:b/>
                <w:sz w:val="17"/>
              </w:rPr>
              <w:t>Campaign coverage</w:t>
            </w:r>
          </w:p>
        </w:tc>
        <w:tc>
          <w:tcPr>
            <w:tcW w:type="dxa" w:w="4997"/>
            <w:tcMar>
              <w:top w:w="90" w:type="dxa"/>
              <w:start w:w="90" w:type="dxa"/>
              <w:bottom w:w="90" w:type="dxa"/>
              <w:end w:w="90" w:type="dxa"/>
            </w:tcMar>
            <w:vAlign w:val="center"/>
          </w:tcPr>
          <w:p>
            <w:r>
              <w:t>Fraction of ground-truth malicious events or campaign objectives discovered.</w:t>
            </w:r>
          </w:p>
        </w:tc>
      </w:tr>
      <w:tr>
        <w:trPr>
          <w:trHeight w:hRule="atLeast"/>
        </w:trPr>
        <w:tc>
          <w:tcPr>
            <w:tcW w:type="dxa" w:w="4997"/>
            <w:tcMar>
              <w:top w:w="90" w:type="dxa"/>
              <w:start w:w="90" w:type="dxa"/>
              <w:bottom w:w="90" w:type="dxa"/>
              <w:end w:w="90" w:type="dxa"/>
            </w:tcMar>
            <w:vAlign w:val="center"/>
          </w:tcPr>
          <w:p>
            <w:r>
              <w:rPr>
                <w:b/>
                <w:sz w:val="17"/>
              </w:rPr>
              <w:t>Coverage per query</w:t>
            </w:r>
          </w:p>
        </w:tc>
        <w:tc>
          <w:tcPr>
            <w:tcW w:type="dxa" w:w="4997"/>
            <w:tcMar>
              <w:top w:w="90" w:type="dxa"/>
              <w:start w:w="90" w:type="dxa"/>
              <w:bottom w:w="90" w:type="dxa"/>
              <w:end w:w="90" w:type="dxa"/>
            </w:tcMar>
            <w:vAlign w:val="center"/>
          </w:tcPr>
          <w:p>
            <w:r>
              <w:t>Campaign coverage divided by the number of queries issued.</w:t>
            </w:r>
          </w:p>
        </w:tc>
      </w:tr>
      <w:tr>
        <w:trPr>
          <w:trHeight w:hRule="atLeast"/>
        </w:trPr>
        <w:tc>
          <w:tcPr>
            <w:tcW w:type="dxa" w:w="4997"/>
            <w:tcMar>
              <w:top w:w="90" w:type="dxa"/>
              <w:start w:w="90" w:type="dxa"/>
              <w:bottom w:w="90" w:type="dxa"/>
              <w:end w:w="90" w:type="dxa"/>
            </w:tcMar>
            <w:vAlign w:val="center"/>
          </w:tcPr>
          <w:p>
            <w:r>
              <w:rPr>
                <w:b/>
                <w:sz w:val="17"/>
              </w:rPr>
              <w:t>Cost per coverage</w:t>
            </w:r>
          </w:p>
        </w:tc>
        <w:tc>
          <w:tcPr>
            <w:tcW w:type="dxa" w:w="4997"/>
            <w:tcMar>
              <w:top w:w="90" w:type="dxa"/>
              <w:start w:w="90" w:type="dxa"/>
              <w:bottom w:w="90" w:type="dxa"/>
              <w:end w:w="90" w:type="dxa"/>
            </w:tcMar>
            <w:vAlign w:val="center"/>
          </w:tcPr>
          <w:p>
            <w:r>
              <w:t>Investigation cost required to achieve a specified coverage level.</w:t>
            </w:r>
          </w:p>
        </w:tc>
      </w:tr>
      <w:tr>
        <w:trPr>
          <w:trHeight w:hRule="atLeast"/>
        </w:trPr>
        <w:tc>
          <w:tcPr>
            <w:tcW w:type="dxa" w:w="4997"/>
            <w:tcMar>
              <w:top w:w="90" w:type="dxa"/>
              <w:start w:w="90" w:type="dxa"/>
              <w:bottom w:w="90" w:type="dxa"/>
              <w:end w:w="90" w:type="dxa"/>
            </w:tcMar>
            <w:vAlign w:val="center"/>
          </w:tcPr>
          <w:p>
            <w:r>
              <w:rPr>
                <w:b/>
                <w:sz w:val="17"/>
              </w:rPr>
              <w:t>Wrong-hypothesis rate</w:t>
            </w:r>
          </w:p>
        </w:tc>
        <w:tc>
          <w:tcPr>
            <w:tcW w:type="dxa" w:w="4997"/>
            <w:tcMar>
              <w:top w:w="90" w:type="dxa"/>
              <w:start w:w="90" w:type="dxa"/>
              <w:bottom w:w="90" w:type="dxa"/>
              <w:end w:w="90" w:type="dxa"/>
            </w:tcMar>
            <w:vAlign w:val="center"/>
          </w:tcPr>
          <w:p>
            <w:r>
              <w:t>Fraction of episodes where the investigator converges on an incorrect explanation.</w:t>
            </w:r>
          </w:p>
        </w:tc>
      </w:tr>
      <w:tr>
        <w:trPr>
          <w:trHeight w:hRule="atLeast"/>
        </w:trPr>
        <w:tc>
          <w:tcPr>
            <w:tcW w:type="dxa" w:w="4997"/>
            <w:tcMar>
              <w:top w:w="90" w:type="dxa"/>
              <w:start w:w="90" w:type="dxa"/>
              <w:bottom w:w="90" w:type="dxa"/>
              <w:end w:w="90" w:type="dxa"/>
            </w:tcMar>
            <w:vAlign w:val="center"/>
          </w:tcPr>
          <w:p>
            <w:r>
              <w:rPr>
                <w:b/>
                <w:sz w:val="17"/>
              </w:rPr>
              <w:t>Time to correct hypothesis</w:t>
            </w:r>
          </w:p>
        </w:tc>
        <w:tc>
          <w:tcPr>
            <w:tcW w:type="dxa" w:w="4997"/>
            <w:tcMar>
              <w:top w:w="90" w:type="dxa"/>
              <w:start w:w="90" w:type="dxa"/>
              <w:bottom w:w="90" w:type="dxa"/>
              <w:end w:w="90" w:type="dxa"/>
            </w:tcMar>
            <w:vAlign w:val="center"/>
          </w:tcPr>
          <w:p>
            <w:r>
              <w:t>Elapsed investigation steps/time until the correct hypothesis becomes dominant.</w:t>
            </w:r>
          </w:p>
        </w:tc>
      </w:tr>
      <w:tr>
        <w:trPr>
          <w:trHeight w:hRule="atLeast"/>
        </w:trPr>
        <w:tc>
          <w:tcPr>
            <w:tcW w:type="dxa" w:w="4997"/>
            <w:tcMar>
              <w:top w:w="90" w:type="dxa"/>
              <w:start w:w="90" w:type="dxa"/>
              <w:bottom w:w="90" w:type="dxa"/>
              <w:end w:w="90" w:type="dxa"/>
            </w:tcMar>
            <w:vAlign w:val="center"/>
          </w:tcPr>
          <w:p>
            <w:r>
              <w:rPr>
                <w:b/>
                <w:sz w:val="17"/>
              </w:rPr>
              <w:t>Order-flip rate</w:t>
            </w:r>
          </w:p>
        </w:tc>
        <w:tc>
          <w:tcPr>
            <w:tcW w:type="dxa" w:w="4997"/>
            <w:tcMar>
              <w:top w:w="90" w:type="dxa"/>
              <w:start w:w="90" w:type="dxa"/>
              <w:bottom w:w="90" w:type="dxa"/>
              <w:end w:w="90" w:type="dxa"/>
            </w:tcMar>
            <w:vAlign w:val="center"/>
          </w:tcPr>
          <w:p>
            <w:r>
              <w:t>Fraction of states where HADES selects a different next query than the comparison policy.</w:t>
            </w:r>
          </w:p>
        </w:tc>
      </w:tr>
      <w:tr>
        <w:trPr>
          <w:trHeight w:hRule="atLeast"/>
        </w:trPr>
        <w:tc>
          <w:tcPr>
            <w:tcW w:type="dxa" w:w="4997"/>
            <w:tcMar>
              <w:top w:w="90" w:type="dxa"/>
              <w:start w:w="90" w:type="dxa"/>
              <w:bottom w:w="90" w:type="dxa"/>
              <w:end w:w="90" w:type="dxa"/>
            </w:tcMar>
            <w:vAlign w:val="center"/>
          </w:tcPr>
          <w:p>
            <w:r>
              <w:rPr>
                <w:b/>
                <w:sz w:val="17"/>
              </w:rPr>
              <w:t>Targeted-attack degradation</w:t>
            </w:r>
          </w:p>
        </w:tc>
        <w:tc>
          <w:tcPr>
            <w:tcW w:type="dxa" w:w="4997"/>
            <w:tcMar>
              <w:top w:w="90" w:type="dxa"/>
              <w:start w:w="90" w:type="dxa"/>
              <w:bottom w:w="90" w:type="dxa"/>
              <w:end w:w="90" w:type="dxa"/>
            </w:tcMar>
            <w:vAlign w:val="center"/>
          </w:tcPr>
          <w:p>
            <w:r>
              <w:t>Performance drop from clean to policy-aware telemetry manipulation.</w:t>
            </w:r>
          </w:p>
        </w:tc>
      </w:tr>
      <w:tr>
        <w:trPr>
          <w:trHeight w:hRule="atLeast"/>
        </w:trPr>
        <w:tc>
          <w:tcPr>
            <w:tcW w:type="dxa" w:w="4997"/>
            <w:tcMar>
              <w:top w:w="90" w:type="dxa"/>
              <w:start w:w="90" w:type="dxa"/>
              <w:bottom w:w="90" w:type="dxa"/>
              <w:end w:w="90" w:type="dxa"/>
            </w:tcMar>
            <w:vAlign w:val="center"/>
          </w:tcPr>
          <w:p>
            <w:r>
              <w:rPr>
                <w:b/>
                <w:sz w:val="17"/>
              </w:rPr>
              <w:t>Premature-stop rate</w:t>
            </w:r>
          </w:p>
        </w:tc>
        <w:tc>
          <w:tcPr>
            <w:tcW w:type="dxa" w:w="4997"/>
            <w:tcMar>
              <w:top w:w="90" w:type="dxa"/>
              <w:start w:w="90" w:type="dxa"/>
              <w:bottom w:w="90" w:type="dxa"/>
              <w:end w:w="90" w:type="dxa"/>
            </w:tcMar>
            <w:vAlign w:val="center"/>
          </w:tcPr>
          <w:p>
            <w:r>
              <w:t>Investigations terminated before sufficient campaign coverage is achieved.</w:t>
            </w:r>
          </w:p>
        </w:tc>
      </w:tr>
    </w:tbl>
    <w:p>
      <w:pPr>
        <w:pStyle w:val="Heading1"/>
      </w:pPr>
      <w:r>
        <w:t>11. Ablation and Statistical Validation</w:t>
      </w:r>
    </w:p>
    <w:p>
      <w:pPr>
        <w:pStyle w:val="Heading2"/>
      </w:pPr>
      <w:r>
        <w:t>11.1 Ablation ladder</w:t>
      </w:r>
    </w:p>
    <w:p>
      <w:r>
        <w:t>The core ablation should add one decision factor at a time:</w:t>
      </w:r>
    </w:p>
    <w:p>
      <w:pPr>
        <w:pStyle w:val="ListNumber"/>
      </w:pPr>
      <w:r>
        <w:t>IG only</w:t>
      </w:r>
    </w:p>
    <w:p>
      <w:pPr>
        <w:pStyle w:val="ListNumber"/>
      </w:pPr>
      <w:r>
        <w:t>IG + cost</w:t>
      </w:r>
    </w:p>
    <w:p>
      <w:pPr>
        <w:pStyle w:val="ListNumber"/>
      </w:pPr>
      <w:r>
        <w:t>IG + cost + reliability</w:t>
      </w:r>
    </w:p>
    <w:p>
      <w:pPr>
        <w:pStyle w:val="ListNumber"/>
      </w:pPr>
      <w:r>
        <w:t>IG + cost + reliability + manipulation risk (full HADES).</w:t>
      </w:r>
    </w:p>
    <w:p>
      <w:pPr>
        <w:pStyle w:val="Heading2"/>
      </w:pPr>
      <w:r>
        <w:t>11.2 Statistical design</w:t>
      </w:r>
    </w:p>
    <w:p>
      <w:pPr>
        <w:pStyle w:val="ListBullet"/>
      </w:pPr>
      <w:r>
        <w:t>Use identical attack campaigns/seeds across policies so comparisons are paired.</w:t>
      </w:r>
    </w:p>
    <w:p>
      <w:pPr>
        <w:pStyle w:val="ListBullet"/>
      </w:pPr>
      <w:r>
        <w:t>Run repeated trials across multiple campaigns and stress conditions.</w:t>
      </w:r>
    </w:p>
    <w:p>
      <w:pPr>
        <w:pStyle w:val="ListBullet"/>
      </w:pPr>
      <w:r>
        <w:t>Report bootstrap confidence intervals for policy differences.</w:t>
      </w:r>
    </w:p>
    <w:p>
      <w:pPr>
        <w:pStyle w:val="ListBullet"/>
      </w:pPr>
      <w:r>
        <w:t>Use paired permutation tests or Wilcoxon signed-rank tests when appropriate.</w:t>
      </w:r>
    </w:p>
    <w:p>
      <w:pPr>
        <w:pStyle w:val="ListBullet"/>
      </w:pPr>
      <w:r>
        <w:t>Report effect sizes, not only p-values.</w:t>
      </w:r>
    </w:p>
    <w:p>
      <w:pPr>
        <w:pStyle w:val="ListBullet"/>
      </w:pPr>
      <w:r>
        <w:t>Use multiplicity correction when many pairwise comparisons are performed.</w:t>
      </w:r>
    </w:p>
    <w:p>
      <w:pPr>
        <w:pStyle w:val="Heading1"/>
      </w:pPr>
      <w:r>
        <w:t>12. Go / No-Go Gates</w:t>
      </w:r>
    </w:p>
    <w:tbl>
      <w:tblPr>
        <w:tblStyle w:val="TableGrid"/>
        <w:tblW w:type="auto" w:w="0"/>
        <w:jc w:val="center"/>
        <w:tblLook w:firstColumn="1" w:firstRow="1" w:lastColumn="0" w:lastRow="0" w:noHBand="0" w:noVBand="1" w:val="04A0"/>
      </w:tblPr>
      <w:tblGrid>
        <w:gridCol w:w="3331"/>
        <w:gridCol w:w="3331"/>
        <w:gridCol w:w="3331"/>
      </w:tblGrid>
      <w:tr>
        <w:trPr>
          <w:trHeight w:hRule="atLeast"/>
          <w:tblHeader w:val="true"/>
        </w:trPr>
        <w:tc>
          <w:tcPr>
            <w:tcW w:type="dxa" w:w="3331"/>
            <w:shd w:fill="17365D"/>
            <w:tcMar>
              <w:top w:w="90" w:type="dxa"/>
              <w:start w:w="90" w:type="dxa"/>
              <w:bottom w:w="90" w:type="dxa"/>
              <w:end w:w="90" w:type="dxa"/>
            </w:tcMar>
            <w:vAlign w:val="center"/>
          </w:tcPr>
          <w:p>
            <w:r>
              <w:rPr>
                <w:b/>
                <w:color w:val="FFFFFF"/>
                <w:sz w:val="17"/>
              </w:rPr>
              <w:t>Gate</w:t>
            </w:r>
          </w:p>
        </w:tc>
        <w:tc>
          <w:tcPr>
            <w:tcW w:type="dxa" w:w="3331"/>
            <w:shd w:fill="17365D"/>
            <w:tcMar>
              <w:top w:w="90" w:type="dxa"/>
              <w:start w:w="90" w:type="dxa"/>
              <w:bottom w:w="90" w:type="dxa"/>
              <w:end w:w="90" w:type="dxa"/>
            </w:tcMar>
            <w:vAlign w:val="center"/>
          </w:tcPr>
          <w:p>
            <w:r>
              <w:rPr>
                <w:b/>
                <w:color w:val="FFFFFF"/>
                <w:sz w:val="17"/>
              </w:rPr>
              <w:t>Requirement</w:t>
            </w:r>
          </w:p>
        </w:tc>
        <w:tc>
          <w:tcPr>
            <w:tcW w:type="dxa" w:w="3331"/>
            <w:shd w:fill="17365D"/>
            <w:tcMar>
              <w:top w:w="90" w:type="dxa"/>
              <w:start w:w="90" w:type="dxa"/>
              <w:bottom w:w="90" w:type="dxa"/>
              <w:end w:w="90" w:type="dxa"/>
            </w:tcMar>
            <w:vAlign w:val="center"/>
          </w:tcPr>
          <w:p>
            <w:r>
              <w:rPr>
                <w:b/>
                <w:color w:val="FFFFFF"/>
                <w:sz w:val="17"/>
              </w:rPr>
              <w:t>Action if failed</w:t>
            </w:r>
          </w:p>
        </w:tc>
      </w:tr>
      <w:tr>
        <w:trPr>
          <w:trHeight w:hRule="atLeast"/>
        </w:trPr>
        <w:tc>
          <w:tcPr>
            <w:tcW w:type="dxa" w:w="3331"/>
            <w:tcMar>
              <w:top w:w="90" w:type="dxa"/>
              <w:start w:w="90" w:type="dxa"/>
              <w:bottom w:w="90" w:type="dxa"/>
              <w:end w:w="90" w:type="dxa"/>
            </w:tcMar>
            <w:vAlign w:val="center"/>
          </w:tcPr>
          <w:p>
            <w:r>
              <w:t>G0</w:t>
            </w:r>
          </w:p>
        </w:tc>
        <w:tc>
          <w:tcPr>
            <w:tcW w:type="dxa" w:w="3331"/>
            <w:tcMar>
              <w:top w:w="90" w:type="dxa"/>
              <w:start w:w="90" w:type="dxa"/>
              <w:bottom w:w="90" w:type="dxa"/>
              <w:end w:w="90" w:type="dxa"/>
            </w:tcMar>
            <w:vAlign w:val="center"/>
          </w:tcPr>
          <w:p>
            <w:r>
              <w:t>Baseline reproducible</w:t>
            </w:r>
          </w:p>
        </w:tc>
        <w:tc>
          <w:tcPr>
            <w:tcW w:type="dxa" w:w="3331"/>
            <w:tcMar>
              <w:top w:w="90" w:type="dxa"/>
              <w:start w:w="90" w:type="dxa"/>
              <w:bottom w:w="90" w:type="dxa"/>
              <w:end w:w="90" w:type="dxa"/>
            </w:tcMar>
            <w:vAlign w:val="center"/>
          </w:tcPr>
          <w:p>
            <w:r>
              <w:t>Fix environment before research.</w:t>
            </w:r>
          </w:p>
        </w:tc>
      </w:tr>
      <w:tr>
        <w:trPr>
          <w:trHeight w:hRule="atLeast"/>
        </w:trPr>
        <w:tc>
          <w:tcPr>
            <w:tcW w:type="dxa" w:w="3331"/>
            <w:tcMar>
              <w:top w:w="90" w:type="dxa"/>
              <w:start w:w="90" w:type="dxa"/>
              <w:bottom w:w="90" w:type="dxa"/>
              <w:end w:w="90" w:type="dxa"/>
            </w:tcMar>
            <w:shd w:fill="FFF2CC"/>
            <w:vAlign w:val="center"/>
          </w:tcPr>
          <w:p>
            <w:r>
              <w:t>G1</w:t>
            </w:r>
          </w:p>
        </w:tc>
        <w:tc>
          <w:tcPr>
            <w:tcW w:type="dxa" w:w="3331"/>
            <w:tcMar>
              <w:top w:w="90" w:type="dxa"/>
              <w:start w:w="90" w:type="dxa"/>
              <w:bottom w:w="90" w:type="dxa"/>
              <w:end w:w="90" w:type="dxa"/>
            </w:tcMar>
            <w:vAlign w:val="center"/>
          </w:tcPr>
          <w:p>
            <w:r>
              <w:t>Order-flip phenomenon exists</w:t>
            </w:r>
          </w:p>
        </w:tc>
        <w:tc>
          <w:tcPr>
            <w:tcW w:type="dxa" w:w="3331"/>
            <w:tcMar>
              <w:top w:w="90" w:type="dxa"/>
              <w:start w:w="90" w:type="dxa"/>
              <w:bottom w:w="90" w:type="dxa"/>
              <w:end w:w="90" w:type="dxa"/>
            </w:tcMar>
            <w:vAlign w:val="center"/>
          </w:tcPr>
          <w:p>
            <w:r>
              <w:t>Reformulate or abandon HADES mechanism.</w:t>
            </w:r>
          </w:p>
        </w:tc>
      </w:tr>
      <w:tr>
        <w:trPr>
          <w:trHeight w:hRule="atLeast"/>
        </w:trPr>
        <w:tc>
          <w:tcPr>
            <w:tcW w:type="dxa" w:w="3331"/>
            <w:tcMar>
              <w:top w:w="90" w:type="dxa"/>
              <w:start w:w="90" w:type="dxa"/>
              <w:bottom w:w="90" w:type="dxa"/>
              <w:end w:w="90" w:type="dxa"/>
            </w:tcMar>
            <w:shd w:fill="FFF2CC"/>
            <w:vAlign w:val="center"/>
          </w:tcPr>
          <w:p>
            <w:r>
              <w:t>G2</w:t>
            </w:r>
          </w:p>
        </w:tc>
        <w:tc>
          <w:tcPr>
            <w:tcW w:type="dxa" w:w="3331"/>
            <w:tcMar>
              <w:top w:w="90" w:type="dxa"/>
              <w:start w:w="90" w:type="dxa"/>
              <w:bottom w:w="90" w:type="dxa"/>
              <w:end w:w="90" w:type="dxa"/>
            </w:tcMar>
            <w:vAlign w:val="center"/>
          </w:tcPr>
          <w:p>
            <w:r>
              <w:t>HADES choices improve outcomes</w:t>
            </w:r>
          </w:p>
        </w:tc>
        <w:tc>
          <w:tcPr>
            <w:tcW w:type="dxa" w:w="3331"/>
            <w:tcMar>
              <w:top w:w="90" w:type="dxa"/>
              <w:start w:w="90" w:type="dxa"/>
              <w:bottom w:w="90" w:type="dxa"/>
              <w:end w:w="90" w:type="dxa"/>
            </w:tcMar>
            <w:vAlign w:val="center"/>
          </w:tcPr>
          <w:p>
            <w:r>
              <w:t>Downgrade to benchmark/measurement study if not.</w:t>
            </w:r>
          </w:p>
        </w:tc>
      </w:tr>
      <w:tr>
        <w:trPr>
          <w:trHeight w:hRule="atLeast"/>
        </w:trPr>
        <w:tc>
          <w:tcPr>
            <w:tcW w:type="dxa" w:w="3331"/>
            <w:tcMar>
              <w:top w:w="90" w:type="dxa"/>
              <w:start w:w="90" w:type="dxa"/>
              <w:bottom w:w="90" w:type="dxa"/>
              <w:end w:w="90" w:type="dxa"/>
            </w:tcMar>
            <w:vAlign w:val="center"/>
          </w:tcPr>
          <w:p>
            <w:r>
              <w:t>G3</w:t>
            </w:r>
          </w:p>
        </w:tc>
        <w:tc>
          <w:tcPr>
            <w:tcW w:type="dxa" w:w="3331"/>
            <w:tcMar>
              <w:top w:w="90" w:type="dxa"/>
              <w:start w:w="90" w:type="dxa"/>
              <w:bottom w:w="90" w:type="dxa"/>
              <w:end w:w="90" w:type="dxa"/>
            </w:tcMar>
            <w:vAlign w:val="center"/>
          </w:tcPr>
          <w:p>
            <w:r>
              <w:t>No major clean penalty</w:t>
            </w:r>
          </w:p>
        </w:tc>
        <w:tc>
          <w:tcPr>
            <w:tcW w:type="dxa" w:w="3331"/>
            <w:tcMar>
              <w:top w:w="90" w:type="dxa"/>
              <w:start w:w="90" w:type="dxa"/>
              <w:bottom w:w="90" w:type="dxa"/>
              <w:end w:w="90" w:type="dxa"/>
            </w:tcMar>
            <w:vAlign w:val="center"/>
          </w:tcPr>
          <w:p>
            <w:r>
              <w:t>Tune objective or reject method.</w:t>
            </w:r>
          </w:p>
        </w:tc>
      </w:tr>
      <w:tr>
        <w:trPr>
          <w:trHeight w:hRule="atLeast"/>
        </w:trPr>
        <w:tc>
          <w:tcPr>
            <w:tcW w:type="dxa" w:w="3331"/>
            <w:tcMar>
              <w:top w:w="90" w:type="dxa"/>
              <w:start w:w="90" w:type="dxa"/>
              <w:bottom w:w="90" w:type="dxa"/>
              <w:end w:w="90" w:type="dxa"/>
            </w:tcMar>
            <w:vAlign w:val="center"/>
          </w:tcPr>
          <w:p>
            <w:r>
              <w:t>G4</w:t>
            </w:r>
          </w:p>
        </w:tc>
        <w:tc>
          <w:tcPr>
            <w:tcW w:type="dxa" w:w="3331"/>
            <w:tcMar>
              <w:top w:w="90" w:type="dxa"/>
              <w:start w:w="90" w:type="dxa"/>
              <w:bottom w:w="90" w:type="dxa"/>
              <w:end w:w="90" w:type="dxa"/>
            </w:tcMar>
            <w:vAlign w:val="center"/>
          </w:tcPr>
          <w:p>
            <w:r>
              <w:t>Robustness advantage exists</w:t>
            </w:r>
          </w:p>
        </w:tc>
        <w:tc>
          <w:tcPr>
            <w:tcW w:type="dxa" w:w="3331"/>
            <w:tcMar>
              <w:top w:w="90" w:type="dxa"/>
              <w:start w:w="90" w:type="dxa"/>
              <w:bottom w:w="90" w:type="dxa"/>
              <w:end w:w="90" w:type="dxa"/>
            </w:tcMar>
            <w:vAlign w:val="center"/>
          </w:tcPr>
          <w:p>
            <w:r>
              <w:t>Reject adversarial-risk term if it adds no value.</w:t>
            </w:r>
          </w:p>
        </w:tc>
      </w:tr>
      <w:tr>
        <w:trPr>
          <w:trHeight w:hRule="atLeast"/>
        </w:trPr>
        <w:tc>
          <w:tcPr>
            <w:tcW w:type="dxa" w:w="3331"/>
            <w:tcMar>
              <w:top w:w="90" w:type="dxa"/>
              <w:start w:w="90" w:type="dxa"/>
              <w:bottom w:w="90" w:type="dxa"/>
              <w:end w:w="90" w:type="dxa"/>
            </w:tcMar>
            <w:vAlign w:val="center"/>
          </w:tcPr>
          <w:p>
            <w:r>
              <w:t>G5</w:t>
            </w:r>
          </w:p>
        </w:tc>
        <w:tc>
          <w:tcPr>
            <w:tcW w:type="dxa" w:w="3331"/>
            <w:tcMar>
              <w:top w:w="90" w:type="dxa"/>
              <w:start w:w="90" w:type="dxa"/>
              <w:bottom w:w="90" w:type="dxa"/>
              <w:end w:w="90" w:type="dxa"/>
            </w:tcMar>
            <w:vAlign w:val="center"/>
          </w:tcPr>
          <w:p>
            <w:r>
              <w:t>Effect generalizes</w:t>
            </w:r>
          </w:p>
        </w:tc>
        <w:tc>
          <w:tcPr>
            <w:tcW w:type="dxa" w:w="3331"/>
            <w:tcMar>
              <w:top w:w="90" w:type="dxa"/>
              <w:start w:w="90" w:type="dxa"/>
              <w:bottom w:w="90" w:type="dxa"/>
              <w:end w:w="90" w:type="dxa"/>
            </w:tcMar>
            <w:vAlign w:val="center"/>
          </w:tcPr>
          <w:p>
            <w:r>
              <w:t>Keep claims narrow if not.</w:t>
            </w:r>
          </w:p>
        </w:tc>
      </w:tr>
      <w:tr>
        <w:trPr>
          <w:trHeight w:hRule="atLeast"/>
        </w:trPr>
        <w:tc>
          <w:tcPr>
            <w:tcW w:type="dxa" w:w="3331"/>
            <w:tcMar>
              <w:top w:w="90" w:type="dxa"/>
              <w:start w:w="90" w:type="dxa"/>
              <w:bottom w:w="90" w:type="dxa"/>
              <w:end w:w="90" w:type="dxa"/>
            </w:tcMar>
            <w:shd w:fill="FFF2CC"/>
            <w:vAlign w:val="center"/>
          </w:tcPr>
          <w:p>
            <w:r>
              <w:t>G6</w:t>
            </w:r>
          </w:p>
        </w:tc>
        <w:tc>
          <w:tcPr>
            <w:tcW w:type="dxa" w:w="3331"/>
            <w:tcMar>
              <w:top w:w="90" w:type="dxa"/>
              <w:start w:w="90" w:type="dxa"/>
              <w:bottom w:w="90" w:type="dxa"/>
              <w:end w:w="90" w:type="dxa"/>
            </w:tcMar>
            <w:vAlign w:val="center"/>
          </w:tcPr>
          <w:p>
            <w:r>
              <w:t>Gap survives literature</w:t>
            </w:r>
          </w:p>
        </w:tc>
        <w:tc>
          <w:tcPr>
            <w:tcW w:type="dxa" w:w="3331"/>
            <w:tcMar>
              <w:top w:w="90" w:type="dxa"/>
              <w:start w:w="90" w:type="dxa"/>
              <w:bottom w:w="90" w:type="dxa"/>
              <w:end w:w="90" w:type="dxa"/>
            </w:tcMar>
            <w:vAlign w:val="center"/>
          </w:tcPr>
          <w:p>
            <w:r>
              <w:t>Do not submit as novel-method paper if not.</w:t>
            </w:r>
          </w:p>
        </w:tc>
      </w:tr>
    </w:tbl>
    <w:p>
      <w:pPr>
        <w:pStyle w:val="Heading1"/>
      </w:pPr>
      <w:r>
        <w:t>13. Development Plan</w:t>
      </w:r>
    </w:p>
    <w:p>
      <w:r>
        <w:t>The development order is intentionally research-first. Build the simplest environment that can falsify the hypothesis before building the polished agent or interface.</w:t>
      </w:r>
    </w:p>
    <w:tbl>
      <w:tblPr>
        <w:tblStyle w:val="TableGrid"/>
        <w:tblW w:type="auto" w:w="0"/>
        <w:jc w:val="center"/>
        <w:tblLook w:firstColumn="1" w:firstRow="1" w:lastColumn="0" w:lastRow="0" w:noHBand="0" w:noVBand="1" w:val="04A0"/>
      </w:tblPr>
      <w:tblGrid>
        <w:gridCol w:w="2498"/>
        <w:gridCol w:w="2498"/>
        <w:gridCol w:w="2498"/>
        <w:gridCol w:w="2498"/>
      </w:tblGrid>
      <w:tr>
        <w:trPr>
          <w:trHeight w:hRule="atLeast"/>
          <w:tblHeader w:val="true"/>
        </w:trPr>
        <w:tc>
          <w:tcPr>
            <w:tcW w:type="dxa" w:w="2498"/>
            <w:shd w:fill="17365D"/>
            <w:tcMar>
              <w:top w:w="90" w:type="dxa"/>
              <w:start w:w="90" w:type="dxa"/>
              <w:bottom w:w="90" w:type="dxa"/>
              <w:end w:w="90" w:type="dxa"/>
            </w:tcMar>
            <w:vAlign w:val="center"/>
          </w:tcPr>
          <w:p>
            <w:r>
              <w:rPr>
                <w:b/>
                <w:color w:val="FFFFFF"/>
                <w:sz w:val="17"/>
              </w:rPr>
              <w:t>Phase</w:t>
            </w:r>
          </w:p>
        </w:tc>
        <w:tc>
          <w:tcPr>
            <w:tcW w:type="dxa" w:w="2498"/>
            <w:shd w:fill="17365D"/>
            <w:tcMar>
              <w:top w:w="90" w:type="dxa"/>
              <w:start w:w="90" w:type="dxa"/>
              <w:bottom w:w="90" w:type="dxa"/>
              <w:end w:w="90" w:type="dxa"/>
            </w:tcMar>
            <w:vAlign w:val="center"/>
          </w:tcPr>
          <w:p>
            <w:r>
              <w:rPr>
                <w:b/>
                <w:color w:val="FFFFFF"/>
                <w:sz w:val="17"/>
              </w:rPr>
              <w:t>Focus</w:t>
            </w:r>
          </w:p>
        </w:tc>
        <w:tc>
          <w:tcPr>
            <w:tcW w:type="dxa" w:w="2498"/>
            <w:shd w:fill="17365D"/>
            <w:tcMar>
              <w:top w:w="90" w:type="dxa"/>
              <w:start w:w="90" w:type="dxa"/>
              <w:bottom w:w="90" w:type="dxa"/>
              <w:end w:w="90" w:type="dxa"/>
            </w:tcMar>
            <w:vAlign w:val="center"/>
          </w:tcPr>
          <w:p>
            <w:r>
              <w:rPr>
                <w:b/>
                <w:color w:val="FFFFFF"/>
                <w:sz w:val="17"/>
              </w:rPr>
              <w:t>Deliverable</w:t>
            </w:r>
          </w:p>
        </w:tc>
        <w:tc>
          <w:tcPr>
            <w:tcW w:type="dxa" w:w="2498"/>
            <w:shd w:fill="17365D"/>
            <w:tcMar>
              <w:top w:w="90" w:type="dxa"/>
              <w:start w:w="90" w:type="dxa"/>
              <w:bottom w:w="90" w:type="dxa"/>
              <w:end w:w="90" w:type="dxa"/>
            </w:tcMar>
            <w:vAlign w:val="center"/>
          </w:tcPr>
          <w:p>
            <w:r>
              <w:rPr>
                <w:b/>
                <w:color w:val="FFFFFF"/>
                <w:sz w:val="17"/>
              </w:rPr>
              <w:t>Target time</w:t>
            </w:r>
          </w:p>
        </w:tc>
      </w:tr>
      <w:tr>
        <w:trPr>
          <w:trHeight w:hRule="atLeast"/>
        </w:trPr>
        <w:tc>
          <w:tcPr>
            <w:tcW w:type="dxa" w:w="2498"/>
            <w:tcMar>
              <w:top w:w="90" w:type="dxa"/>
              <w:start w:w="90" w:type="dxa"/>
              <w:bottom w:w="90" w:type="dxa"/>
              <w:end w:w="90" w:type="dxa"/>
            </w:tcMar>
            <w:vAlign w:val="center"/>
          </w:tcPr>
          <w:p>
            <w:r>
              <w:rPr>
                <w:sz w:val="16"/>
              </w:rPr>
              <w:t>Phase 0</w:t>
            </w:r>
          </w:p>
        </w:tc>
        <w:tc>
          <w:tcPr>
            <w:tcW w:type="dxa" w:w="2498"/>
            <w:tcMar>
              <w:top w:w="90" w:type="dxa"/>
              <w:start w:w="90" w:type="dxa"/>
              <w:bottom w:w="90" w:type="dxa"/>
              <w:end w:w="90" w:type="dxa"/>
            </w:tcMar>
            <w:vAlign w:val="center"/>
          </w:tcPr>
          <w:p>
            <w:r>
              <w:rPr>
                <w:sz w:val="16"/>
              </w:rPr>
              <w:t>Literature + environment lock</w:t>
            </w:r>
          </w:p>
        </w:tc>
        <w:tc>
          <w:tcPr>
            <w:tcW w:type="dxa" w:w="2498"/>
            <w:tcMar>
              <w:top w:w="90" w:type="dxa"/>
              <w:start w:w="90" w:type="dxa"/>
              <w:bottom w:w="90" w:type="dxa"/>
              <w:end w:w="90" w:type="dxa"/>
            </w:tcMar>
            <w:vAlign w:val="center"/>
          </w:tcPr>
          <w:p>
            <w:r>
              <w:rPr>
                <w:sz w:val="16"/>
              </w:rPr>
              <w:t>Freeze related-work matrix; verify CDB version; establish reproducibility baseline; define attack and corruption threat model.</w:t>
            </w:r>
          </w:p>
        </w:tc>
        <w:tc>
          <w:tcPr>
            <w:tcW w:type="dxa" w:w="2498"/>
            <w:tcMar>
              <w:top w:w="90" w:type="dxa"/>
              <w:start w:w="90" w:type="dxa"/>
              <w:bottom w:w="90" w:type="dxa"/>
              <w:end w:w="90" w:type="dxa"/>
            </w:tcMar>
            <w:vAlign w:val="center"/>
          </w:tcPr>
          <w:p>
            <w:r>
              <w:rPr>
                <w:sz w:val="16"/>
              </w:rPr>
              <w:t>Week 1–2</w:t>
            </w:r>
          </w:p>
        </w:tc>
      </w:tr>
      <w:tr>
        <w:trPr>
          <w:trHeight w:hRule="atLeast"/>
        </w:trPr>
        <w:tc>
          <w:tcPr>
            <w:tcW w:type="dxa" w:w="2498"/>
            <w:tcMar>
              <w:top w:w="90" w:type="dxa"/>
              <w:start w:w="90" w:type="dxa"/>
              <w:bottom w:w="90" w:type="dxa"/>
              <w:end w:w="90" w:type="dxa"/>
            </w:tcMar>
            <w:shd w:fill="E2F0D9"/>
            <w:vAlign w:val="center"/>
          </w:tcPr>
          <w:p>
            <w:r>
              <w:rPr>
                <w:sz w:val="16"/>
              </w:rPr>
              <w:t>Phase 1</w:t>
            </w:r>
          </w:p>
        </w:tc>
        <w:tc>
          <w:tcPr>
            <w:tcW w:type="dxa" w:w="2498"/>
            <w:tcMar>
              <w:top w:w="90" w:type="dxa"/>
              <w:start w:w="90" w:type="dxa"/>
              <w:bottom w:w="90" w:type="dxa"/>
              <w:end w:w="90" w:type="dxa"/>
            </w:tcMar>
            <w:vAlign w:val="center"/>
          </w:tcPr>
          <w:p>
            <w:r>
              <w:rPr>
                <w:sz w:val="16"/>
              </w:rPr>
              <w:t>Minimal simulator</w:t>
            </w:r>
          </w:p>
        </w:tc>
        <w:tc>
          <w:tcPr>
            <w:tcW w:type="dxa" w:w="2498"/>
            <w:tcMar>
              <w:top w:w="90" w:type="dxa"/>
              <w:start w:w="90" w:type="dxa"/>
              <w:bottom w:w="90" w:type="dxa"/>
              <w:end w:w="90" w:type="dxa"/>
            </w:tcMar>
            <w:vAlign w:val="center"/>
          </w:tcPr>
          <w:p>
            <w:r>
              <w:rPr>
                <w:sz w:val="16"/>
              </w:rPr>
              <w:t>Create 5–10 hypotheses, 10–20 evidence sources and synthetic observation models; enumerate states; measure order flips between IG, IG/cost and reliability-aware policies.</w:t>
            </w:r>
          </w:p>
        </w:tc>
        <w:tc>
          <w:tcPr>
            <w:tcW w:type="dxa" w:w="2498"/>
            <w:tcMar>
              <w:top w:w="90" w:type="dxa"/>
              <w:start w:w="90" w:type="dxa"/>
              <w:bottom w:w="90" w:type="dxa"/>
              <w:end w:w="90" w:type="dxa"/>
            </w:tcMar>
            <w:vAlign w:val="center"/>
          </w:tcPr>
          <w:p>
            <w:r>
              <w:rPr>
                <w:sz w:val="16"/>
              </w:rPr>
              <w:t>Week 2–4</w:t>
            </w:r>
          </w:p>
        </w:tc>
      </w:tr>
      <w:tr>
        <w:trPr>
          <w:trHeight w:hRule="atLeast"/>
        </w:trPr>
        <w:tc>
          <w:tcPr>
            <w:tcW w:type="dxa" w:w="2498"/>
            <w:tcMar>
              <w:top w:w="90" w:type="dxa"/>
              <w:start w:w="90" w:type="dxa"/>
              <w:bottom w:w="90" w:type="dxa"/>
              <w:end w:w="90" w:type="dxa"/>
            </w:tcMar>
            <w:vAlign w:val="center"/>
          </w:tcPr>
          <w:p>
            <w:r>
              <w:rPr>
                <w:sz w:val="16"/>
              </w:rPr>
              <w:t>Phase 2</w:t>
            </w:r>
          </w:p>
        </w:tc>
        <w:tc>
          <w:tcPr>
            <w:tcW w:type="dxa" w:w="2498"/>
            <w:tcMar>
              <w:top w:w="90" w:type="dxa"/>
              <w:start w:w="90" w:type="dxa"/>
              <w:bottom w:w="90" w:type="dxa"/>
              <w:end w:w="90" w:type="dxa"/>
            </w:tcMar>
            <w:vAlign w:val="center"/>
          </w:tcPr>
          <w:p>
            <w:r>
              <w:rPr>
                <w:sz w:val="16"/>
              </w:rPr>
              <w:t>Deterministic policy ladder</w:t>
            </w:r>
          </w:p>
        </w:tc>
        <w:tc>
          <w:tcPr>
            <w:tcW w:type="dxa" w:w="2498"/>
            <w:tcMar>
              <w:top w:w="90" w:type="dxa"/>
              <w:start w:w="90" w:type="dxa"/>
              <w:bottom w:w="90" w:type="dxa"/>
              <w:end w:w="90" w:type="dxa"/>
            </w:tcMar>
            <w:vAlign w:val="center"/>
          </w:tcPr>
          <w:p>
            <w:r>
              <w:rPr>
                <w:sz w:val="16"/>
              </w:rPr>
              <w:t>Implement P0–P5 with transparent interfaces and logged decision traces.</w:t>
            </w:r>
          </w:p>
        </w:tc>
        <w:tc>
          <w:tcPr>
            <w:tcW w:type="dxa" w:w="2498"/>
            <w:tcMar>
              <w:top w:w="90" w:type="dxa"/>
              <w:start w:w="90" w:type="dxa"/>
              <w:bottom w:w="90" w:type="dxa"/>
              <w:end w:w="90" w:type="dxa"/>
            </w:tcMar>
            <w:vAlign w:val="center"/>
          </w:tcPr>
          <w:p>
            <w:r>
              <w:rPr>
                <w:sz w:val="16"/>
              </w:rPr>
              <w:t>Week 4–6</w:t>
            </w:r>
          </w:p>
        </w:tc>
      </w:tr>
      <w:tr>
        <w:trPr>
          <w:trHeight w:hRule="atLeast"/>
        </w:trPr>
        <w:tc>
          <w:tcPr>
            <w:tcW w:type="dxa" w:w="2498"/>
            <w:tcMar>
              <w:top w:w="90" w:type="dxa"/>
              <w:start w:w="90" w:type="dxa"/>
              <w:bottom w:w="90" w:type="dxa"/>
              <w:end w:w="90" w:type="dxa"/>
            </w:tcMar>
            <w:vAlign w:val="center"/>
          </w:tcPr>
          <w:p>
            <w:r>
              <w:rPr>
                <w:sz w:val="16"/>
              </w:rPr>
              <w:t>Phase 3</w:t>
            </w:r>
          </w:p>
        </w:tc>
        <w:tc>
          <w:tcPr>
            <w:tcW w:type="dxa" w:w="2498"/>
            <w:tcMar>
              <w:top w:w="90" w:type="dxa"/>
              <w:start w:w="90" w:type="dxa"/>
              <w:bottom w:w="90" w:type="dxa"/>
              <w:end w:w="90" w:type="dxa"/>
            </w:tcMar>
            <w:vAlign w:val="center"/>
          </w:tcPr>
          <w:p>
            <w:r>
              <w:rPr>
                <w:sz w:val="16"/>
              </w:rPr>
              <w:t>CDB integration</w:t>
            </w:r>
          </w:p>
        </w:tc>
        <w:tc>
          <w:tcPr>
            <w:tcW w:type="dxa" w:w="2498"/>
            <w:tcMar>
              <w:top w:w="90" w:type="dxa"/>
              <w:start w:w="90" w:type="dxa"/>
              <w:bottom w:w="90" w:type="dxa"/>
              <w:end w:w="90" w:type="dxa"/>
            </w:tcMar>
            <w:vAlign w:val="center"/>
          </w:tcPr>
          <w:p>
            <w:r>
              <w:rPr>
                <w:sz w:val="16"/>
              </w:rPr>
              <w:t>Connect HADES policies to the real benchmark query interface; establish comparable seeds/configurations.</w:t>
            </w:r>
          </w:p>
        </w:tc>
        <w:tc>
          <w:tcPr>
            <w:tcW w:type="dxa" w:w="2498"/>
            <w:tcMar>
              <w:top w:w="90" w:type="dxa"/>
              <w:start w:w="90" w:type="dxa"/>
              <w:bottom w:w="90" w:type="dxa"/>
              <w:end w:w="90" w:type="dxa"/>
            </w:tcMar>
            <w:vAlign w:val="center"/>
          </w:tcPr>
          <w:p>
            <w:r>
              <w:rPr>
                <w:sz w:val="16"/>
              </w:rPr>
              <w:t>Week 6–8</w:t>
            </w:r>
          </w:p>
        </w:tc>
      </w:tr>
      <w:tr>
        <w:trPr>
          <w:trHeight w:hRule="atLeast"/>
        </w:trPr>
        <w:tc>
          <w:tcPr>
            <w:tcW w:type="dxa" w:w="2498"/>
            <w:tcMar>
              <w:top w:w="90" w:type="dxa"/>
              <w:start w:w="90" w:type="dxa"/>
              <w:bottom w:w="90" w:type="dxa"/>
              <w:end w:w="90" w:type="dxa"/>
            </w:tcMar>
            <w:vAlign w:val="center"/>
          </w:tcPr>
          <w:p>
            <w:r>
              <w:rPr>
                <w:sz w:val="16"/>
              </w:rPr>
              <w:t>Phase 4</w:t>
            </w:r>
          </w:p>
        </w:tc>
        <w:tc>
          <w:tcPr>
            <w:tcW w:type="dxa" w:w="2498"/>
            <w:tcMar>
              <w:top w:w="90" w:type="dxa"/>
              <w:start w:w="90" w:type="dxa"/>
              <w:bottom w:w="90" w:type="dxa"/>
              <w:end w:w="90" w:type="dxa"/>
            </w:tcMar>
            <w:vAlign w:val="center"/>
          </w:tcPr>
          <w:p>
            <w:r>
              <w:rPr>
                <w:sz w:val="16"/>
              </w:rPr>
              <w:t>Telemetry stress generator</w:t>
            </w:r>
          </w:p>
        </w:tc>
        <w:tc>
          <w:tcPr>
            <w:tcW w:type="dxa" w:w="2498"/>
            <w:tcMar>
              <w:top w:w="90" w:type="dxa"/>
              <w:start w:w="90" w:type="dxa"/>
              <w:bottom w:w="90" w:type="dxa"/>
              <w:end w:w="90" w:type="dxa"/>
            </w:tcMar>
            <w:vAlign w:val="center"/>
          </w:tcPr>
          <w:p>
            <w:r>
              <w:rPr>
                <w:sz w:val="16"/>
              </w:rPr>
              <w:t>Implement missing, stale, misleading and targeted corruption modes; validate that corruption changes observations but not ground truth.</w:t>
            </w:r>
          </w:p>
        </w:tc>
        <w:tc>
          <w:tcPr>
            <w:tcW w:type="dxa" w:w="2498"/>
            <w:tcMar>
              <w:top w:w="90" w:type="dxa"/>
              <w:start w:w="90" w:type="dxa"/>
              <w:bottom w:w="90" w:type="dxa"/>
              <w:end w:w="90" w:type="dxa"/>
            </w:tcMar>
            <w:vAlign w:val="center"/>
          </w:tcPr>
          <w:p>
            <w:r>
              <w:rPr>
                <w:sz w:val="16"/>
              </w:rPr>
              <w:t>Week 8–11</w:t>
            </w:r>
          </w:p>
        </w:tc>
      </w:tr>
      <w:tr>
        <w:trPr>
          <w:trHeight w:hRule="atLeast"/>
        </w:trPr>
        <w:tc>
          <w:tcPr>
            <w:tcW w:type="dxa" w:w="2498"/>
            <w:tcMar>
              <w:top w:w="90" w:type="dxa"/>
              <w:start w:w="90" w:type="dxa"/>
              <w:bottom w:w="90" w:type="dxa"/>
              <w:end w:w="90" w:type="dxa"/>
            </w:tcMar>
            <w:shd w:fill="E2F0D9"/>
            <w:vAlign w:val="center"/>
          </w:tcPr>
          <w:p>
            <w:r>
              <w:rPr>
                <w:sz w:val="16"/>
              </w:rPr>
              <w:t>Phase 5</w:t>
            </w:r>
          </w:p>
        </w:tc>
        <w:tc>
          <w:tcPr>
            <w:tcW w:type="dxa" w:w="2498"/>
            <w:tcMar>
              <w:top w:w="90" w:type="dxa"/>
              <w:start w:w="90" w:type="dxa"/>
              <w:bottom w:w="90" w:type="dxa"/>
              <w:end w:w="90" w:type="dxa"/>
            </w:tcMar>
            <w:vAlign w:val="center"/>
          </w:tcPr>
          <w:p>
            <w:r>
              <w:rPr>
                <w:sz w:val="16"/>
              </w:rPr>
              <w:t>Main experiments</w:t>
            </w:r>
          </w:p>
        </w:tc>
        <w:tc>
          <w:tcPr>
            <w:tcW w:type="dxa" w:w="2498"/>
            <w:tcMar>
              <w:top w:w="90" w:type="dxa"/>
              <w:start w:w="90" w:type="dxa"/>
              <w:bottom w:w="90" w:type="dxa"/>
              <w:end w:w="90" w:type="dxa"/>
            </w:tcMar>
            <w:vAlign w:val="center"/>
          </w:tcPr>
          <w:p>
            <w:r>
              <w:rPr>
                <w:sz w:val="16"/>
              </w:rPr>
              <w:t>Run policy × campaign × stress matrix; collect coverage, cost, order flips and wrong-hypothesis outcomes.</w:t>
            </w:r>
          </w:p>
        </w:tc>
        <w:tc>
          <w:tcPr>
            <w:tcW w:type="dxa" w:w="2498"/>
            <w:tcMar>
              <w:top w:w="90" w:type="dxa"/>
              <w:start w:w="90" w:type="dxa"/>
              <w:bottom w:w="90" w:type="dxa"/>
              <w:end w:w="90" w:type="dxa"/>
            </w:tcMar>
            <w:vAlign w:val="center"/>
          </w:tcPr>
          <w:p>
            <w:r>
              <w:rPr>
                <w:sz w:val="16"/>
              </w:rPr>
              <w:t>Week 11–15</w:t>
            </w:r>
          </w:p>
        </w:tc>
      </w:tr>
      <w:tr>
        <w:trPr>
          <w:trHeight w:hRule="atLeast"/>
        </w:trPr>
        <w:tc>
          <w:tcPr>
            <w:tcW w:type="dxa" w:w="2498"/>
            <w:tcMar>
              <w:top w:w="90" w:type="dxa"/>
              <w:start w:w="90" w:type="dxa"/>
              <w:bottom w:w="90" w:type="dxa"/>
              <w:end w:w="90" w:type="dxa"/>
            </w:tcMar>
            <w:vAlign w:val="center"/>
          </w:tcPr>
          <w:p>
            <w:r>
              <w:rPr>
                <w:sz w:val="16"/>
              </w:rPr>
              <w:t>Phase 6</w:t>
            </w:r>
          </w:p>
        </w:tc>
        <w:tc>
          <w:tcPr>
            <w:tcW w:type="dxa" w:w="2498"/>
            <w:tcMar>
              <w:top w:w="90" w:type="dxa"/>
              <w:start w:w="90" w:type="dxa"/>
              <w:bottom w:w="90" w:type="dxa"/>
              <w:end w:w="90" w:type="dxa"/>
            </w:tcMar>
            <w:vAlign w:val="center"/>
          </w:tcPr>
          <w:p>
            <w:r>
              <w:rPr>
                <w:sz w:val="16"/>
              </w:rPr>
              <w:t>Ablation + statistics</w:t>
            </w:r>
          </w:p>
        </w:tc>
        <w:tc>
          <w:tcPr>
            <w:tcW w:type="dxa" w:w="2498"/>
            <w:tcMar>
              <w:top w:w="90" w:type="dxa"/>
              <w:start w:w="90" w:type="dxa"/>
              <w:bottom w:w="90" w:type="dxa"/>
              <w:end w:w="90" w:type="dxa"/>
            </w:tcMar>
            <w:vAlign w:val="center"/>
          </w:tcPr>
          <w:p>
            <w:r>
              <w:rPr>
                <w:sz w:val="16"/>
              </w:rPr>
              <w:t>Run repeated seeds, bootstrap intervals, paired tests and component ablations.</w:t>
            </w:r>
          </w:p>
        </w:tc>
        <w:tc>
          <w:tcPr>
            <w:tcW w:type="dxa" w:w="2498"/>
            <w:tcMar>
              <w:top w:w="90" w:type="dxa"/>
              <w:start w:w="90" w:type="dxa"/>
              <w:bottom w:w="90" w:type="dxa"/>
              <w:end w:w="90" w:type="dxa"/>
            </w:tcMar>
            <w:vAlign w:val="center"/>
          </w:tcPr>
          <w:p>
            <w:r>
              <w:rPr>
                <w:sz w:val="16"/>
              </w:rPr>
              <w:t>Week 15–17</w:t>
            </w:r>
          </w:p>
        </w:tc>
      </w:tr>
      <w:tr>
        <w:trPr>
          <w:trHeight w:hRule="atLeast"/>
        </w:trPr>
        <w:tc>
          <w:tcPr>
            <w:tcW w:type="dxa" w:w="2498"/>
            <w:tcMar>
              <w:top w:w="90" w:type="dxa"/>
              <w:start w:w="90" w:type="dxa"/>
              <w:bottom w:w="90" w:type="dxa"/>
              <w:end w:w="90" w:type="dxa"/>
            </w:tcMar>
            <w:vAlign w:val="center"/>
          </w:tcPr>
          <w:p>
            <w:r>
              <w:rPr>
                <w:sz w:val="16"/>
              </w:rPr>
              <w:t>Phase 7</w:t>
            </w:r>
          </w:p>
        </w:tc>
        <w:tc>
          <w:tcPr>
            <w:tcW w:type="dxa" w:w="2498"/>
            <w:tcMar>
              <w:top w:w="90" w:type="dxa"/>
              <w:start w:w="90" w:type="dxa"/>
              <w:bottom w:w="90" w:type="dxa"/>
              <w:end w:w="90" w:type="dxa"/>
            </w:tcMar>
            <w:vAlign w:val="center"/>
          </w:tcPr>
          <w:p>
            <w:r>
              <w:rPr>
                <w:sz w:val="16"/>
              </w:rPr>
              <w:t>External validation</w:t>
            </w:r>
          </w:p>
        </w:tc>
        <w:tc>
          <w:tcPr>
            <w:tcW w:type="dxa" w:w="2498"/>
            <w:tcMar>
              <w:top w:w="90" w:type="dxa"/>
              <w:start w:w="90" w:type="dxa"/>
              <w:bottom w:w="90" w:type="dxa"/>
              <w:end w:w="90" w:type="dxa"/>
            </w:tcMar>
            <w:vAlign w:val="center"/>
          </w:tcPr>
          <w:p>
            <w:r>
              <w:rPr>
                <w:sz w:val="16"/>
              </w:rPr>
              <w:t>Port the policy to a second hunting environment if licensing/reproducibility permit.</w:t>
            </w:r>
          </w:p>
        </w:tc>
        <w:tc>
          <w:tcPr>
            <w:tcW w:type="dxa" w:w="2498"/>
            <w:tcMar>
              <w:top w:w="90" w:type="dxa"/>
              <w:start w:w="90" w:type="dxa"/>
              <w:bottom w:w="90" w:type="dxa"/>
              <w:end w:w="90" w:type="dxa"/>
            </w:tcMar>
            <w:vAlign w:val="center"/>
          </w:tcPr>
          <w:p>
            <w:r>
              <w:rPr>
                <w:sz w:val="16"/>
              </w:rPr>
              <w:t>Week 17–20</w:t>
            </w:r>
          </w:p>
        </w:tc>
      </w:tr>
      <w:tr>
        <w:trPr>
          <w:trHeight w:hRule="atLeast"/>
        </w:trPr>
        <w:tc>
          <w:tcPr>
            <w:tcW w:type="dxa" w:w="2498"/>
            <w:tcMar>
              <w:top w:w="90" w:type="dxa"/>
              <w:start w:w="90" w:type="dxa"/>
              <w:bottom w:w="90" w:type="dxa"/>
              <w:end w:w="90" w:type="dxa"/>
            </w:tcMar>
            <w:vAlign w:val="center"/>
          </w:tcPr>
          <w:p>
            <w:r>
              <w:rPr>
                <w:sz w:val="16"/>
              </w:rPr>
              <w:t>Phase 8</w:t>
            </w:r>
          </w:p>
        </w:tc>
        <w:tc>
          <w:tcPr>
            <w:tcW w:type="dxa" w:w="2498"/>
            <w:tcMar>
              <w:top w:w="90" w:type="dxa"/>
              <w:start w:w="90" w:type="dxa"/>
              <w:bottom w:w="90" w:type="dxa"/>
              <w:end w:w="90" w:type="dxa"/>
            </w:tcMar>
            <w:vAlign w:val="center"/>
          </w:tcPr>
          <w:p>
            <w:r>
              <w:rPr>
                <w:sz w:val="16"/>
              </w:rPr>
              <w:t>Paper + artifact</w:t>
            </w:r>
          </w:p>
        </w:tc>
        <w:tc>
          <w:tcPr>
            <w:tcW w:type="dxa" w:w="2498"/>
            <w:tcMar>
              <w:top w:w="90" w:type="dxa"/>
              <w:start w:w="90" w:type="dxa"/>
              <w:bottom w:w="90" w:type="dxa"/>
              <w:end w:w="90" w:type="dxa"/>
            </w:tcMar>
            <w:vAlign w:val="center"/>
          </w:tcPr>
          <w:p>
            <w:r>
              <w:rPr>
                <w:sz w:val="16"/>
              </w:rPr>
              <w:t>Write IEEE-format manuscript; freeze figures/tables; publish reproducibility package.</w:t>
            </w:r>
          </w:p>
        </w:tc>
        <w:tc>
          <w:tcPr>
            <w:tcW w:type="dxa" w:w="2498"/>
            <w:tcMar>
              <w:top w:w="90" w:type="dxa"/>
              <w:start w:w="90" w:type="dxa"/>
              <w:bottom w:w="90" w:type="dxa"/>
              <w:end w:w="90" w:type="dxa"/>
            </w:tcMar>
            <w:vAlign w:val="center"/>
          </w:tcPr>
          <w:p>
            <w:r>
              <w:rPr>
                <w:sz w:val="16"/>
              </w:rPr>
              <w:t>Week 20–24</w:t>
            </w:r>
          </w:p>
        </w:tc>
      </w:tr>
    </w:tbl>
    <w:p>
      <w:pPr>
        <w:pStyle w:val="Heading1"/>
      </w:pPr>
      <w:r>
        <w:t>14. Recommended Technical Stack</w:t>
      </w:r>
    </w:p>
    <w:tbl>
      <w:tblPr>
        <w:tblStyle w:val="TableGrid"/>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7365D"/>
            <w:tcMar>
              <w:top w:w="90" w:type="dxa"/>
              <w:start w:w="90" w:type="dxa"/>
              <w:bottom w:w="90" w:type="dxa"/>
              <w:end w:w="90" w:type="dxa"/>
            </w:tcMar>
            <w:vAlign w:val="center"/>
          </w:tcPr>
          <w:p>
            <w:r>
              <w:rPr>
                <w:b/>
                <w:color w:val="FFFFFF"/>
                <w:sz w:val="18"/>
              </w:rPr>
              <w:t>Component</w:t>
            </w:r>
          </w:p>
        </w:tc>
        <w:tc>
          <w:tcPr>
            <w:tcW w:type="dxa" w:w="4997"/>
            <w:shd w:fill="17365D"/>
            <w:tcMar>
              <w:top w:w="90" w:type="dxa"/>
              <w:start w:w="90" w:type="dxa"/>
              <w:bottom w:w="90" w:type="dxa"/>
              <w:end w:w="90" w:type="dxa"/>
            </w:tcMar>
            <w:vAlign w:val="center"/>
          </w:tcPr>
          <w:p>
            <w:r>
              <w:rPr>
                <w:b/>
                <w:color w:val="FFFFFF"/>
                <w:sz w:val="18"/>
              </w:rPr>
              <w:t>Recommendation</w:t>
            </w:r>
          </w:p>
        </w:tc>
      </w:tr>
      <w:tr>
        <w:trPr>
          <w:trHeight w:hRule="atLeast"/>
        </w:trPr>
        <w:tc>
          <w:tcPr>
            <w:tcW w:type="dxa" w:w="4997"/>
            <w:tcMar>
              <w:top w:w="90" w:type="dxa"/>
              <w:start w:w="90" w:type="dxa"/>
              <w:bottom w:w="90" w:type="dxa"/>
              <w:end w:w="90" w:type="dxa"/>
            </w:tcMar>
            <w:shd w:fill="F5F8FB"/>
            <w:vAlign w:val="center"/>
          </w:tcPr>
          <w:p>
            <w:r>
              <w:rPr>
                <w:b/>
              </w:rPr>
              <w:t>Language</w:t>
            </w:r>
          </w:p>
        </w:tc>
        <w:tc>
          <w:tcPr>
            <w:tcW w:type="dxa" w:w="4997"/>
            <w:tcMar>
              <w:top w:w="90" w:type="dxa"/>
              <w:start w:w="90" w:type="dxa"/>
              <w:bottom w:w="90" w:type="dxa"/>
              <w:end w:w="90" w:type="dxa"/>
            </w:tcMar>
            <w:vAlign w:val="center"/>
          </w:tcPr>
          <w:p>
            <w:r>
              <w:t>Python 3.11+ for policies, experiment orchestration, statistics and data processing.</w:t>
            </w:r>
          </w:p>
        </w:tc>
      </w:tr>
      <w:tr>
        <w:trPr>
          <w:trHeight w:hRule="atLeast"/>
        </w:trPr>
        <w:tc>
          <w:tcPr>
            <w:tcW w:type="dxa" w:w="4997"/>
            <w:tcMar>
              <w:top w:w="90" w:type="dxa"/>
              <w:start w:w="90" w:type="dxa"/>
              <w:bottom w:w="90" w:type="dxa"/>
              <w:end w:w="90" w:type="dxa"/>
            </w:tcMar>
            <w:shd w:fill="F5F8FB"/>
            <w:vAlign w:val="center"/>
          </w:tcPr>
          <w:p>
            <w:r>
              <w:rPr>
                <w:b/>
              </w:rPr>
              <w:t>Database/query</w:t>
            </w:r>
          </w:p>
        </w:tc>
        <w:tc>
          <w:tcPr>
            <w:tcW w:type="dxa" w:w="4997"/>
            <w:tcMar>
              <w:top w:w="90" w:type="dxa"/>
              <w:start w:w="90" w:type="dxa"/>
              <w:bottom w:w="90" w:type="dxa"/>
              <w:end w:w="90" w:type="dxa"/>
            </w:tcMar>
            <w:vAlign w:val="center"/>
          </w:tcPr>
          <w:p>
            <w:r>
              <w:t>SQLite for initial simulator compatibility; retain SQL as the benchmark interaction layer.</w:t>
            </w:r>
          </w:p>
        </w:tc>
      </w:tr>
      <w:tr>
        <w:trPr>
          <w:trHeight w:hRule="atLeast"/>
        </w:trPr>
        <w:tc>
          <w:tcPr>
            <w:tcW w:type="dxa" w:w="4997"/>
            <w:tcMar>
              <w:top w:w="90" w:type="dxa"/>
              <w:start w:w="90" w:type="dxa"/>
              <w:bottom w:w="90" w:type="dxa"/>
              <w:end w:w="90" w:type="dxa"/>
            </w:tcMar>
            <w:shd w:fill="F5F8FB"/>
            <w:vAlign w:val="center"/>
          </w:tcPr>
          <w:p>
            <w:r>
              <w:rPr>
                <w:b/>
              </w:rPr>
              <w:t>Benchmark</w:t>
            </w:r>
          </w:p>
        </w:tc>
        <w:tc>
          <w:tcPr>
            <w:tcW w:type="dxa" w:w="4997"/>
            <w:tcMar>
              <w:top w:w="90" w:type="dxa"/>
              <w:start w:w="90" w:type="dxa"/>
              <w:bottom w:w="90" w:type="dxa"/>
              <w:end w:w="90" w:type="dxa"/>
            </w:tcMar>
            <w:vAlign w:val="center"/>
          </w:tcPr>
          <w:p>
            <w:r>
              <w:t>Cyber Defense Benchmark as primary environment.</w:t>
            </w:r>
          </w:p>
        </w:tc>
      </w:tr>
      <w:tr>
        <w:trPr>
          <w:trHeight w:hRule="atLeast"/>
        </w:trPr>
        <w:tc>
          <w:tcPr>
            <w:tcW w:type="dxa" w:w="4997"/>
            <w:tcMar>
              <w:top w:w="90" w:type="dxa"/>
              <w:start w:w="90" w:type="dxa"/>
              <w:bottom w:w="90" w:type="dxa"/>
              <w:end w:w="90" w:type="dxa"/>
            </w:tcMar>
            <w:shd w:fill="F5F8FB"/>
            <w:vAlign w:val="center"/>
          </w:tcPr>
          <w:p>
            <w:r>
              <w:rPr>
                <w:b/>
              </w:rPr>
              <w:t>Security telemetry</w:t>
            </w:r>
          </w:p>
        </w:tc>
        <w:tc>
          <w:tcPr>
            <w:tcW w:type="dxa" w:w="4997"/>
            <w:tcMar>
              <w:top w:w="90" w:type="dxa"/>
              <w:start w:w="90" w:type="dxa"/>
              <w:bottom w:w="90" w:type="dxa"/>
              <w:end w:w="90" w:type="dxa"/>
            </w:tcMar>
            <w:vAlign w:val="center"/>
          </w:tcPr>
          <w:p>
            <w:r>
              <w:t>Windows/Sysmon-style event schemas through CDB; optional Zeek/Wazuh/Splunk-style second environment later.</w:t>
            </w:r>
          </w:p>
        </w:tc>
      </w:tr>
      <w:tr>
        <w:trPr>
          <w:trHeight w:hRule="atLeast"/>
        </w:trPr>
        <w:tc>
          <w:tcPr>
            <w:tcW w:type="dxa" w:w="4997"/>
            <w:tcMar>
              <w:top w:w="90" w:type="dxa"/>
              <w:start w:w="90" w:type="dxa"/>
              <w:bottom w:w="90" w:type="dxa"/>
              <w:end w:w="90" w:type="dxa"/>
            </w:tcMar>
            <w:shd w:fill="F5F8FB"/>
            <w:vAlign w:val="center"/>
          </w:tcPr>
          <w:p>
            <w:r>
              <w:rPr>
                <w:b/>
              </w:rPr>
              <w:t>Statistics</w:t>
            </w:r>
          </w:p>
        </w:tc>
        <w:tc>
          <w:tcPr>
            <w:tcW w:type="dxa" w:w="4997"/>
            <w:tcMar>
              <w:top w:w="90" w:type="dxa"/>
              <w:start w:w="90" w:type="dxa"/>
              <w:bottom w:w="90" w:type="dxa"/>
              <w:end w:w="90" w:type="dxa"/>
            </w:tcMar>
            <w:vAlign w:val="center"/>
          </w:tcPr>
          <w:p>
            <w:r>
              <w:t>SciPy / pandas / NumPy; matplotlib for publication figures.</w:t>
            </w:r>
          </w:p>
        </w:tc>
      </w:tr>
      <w:tr>
        <w:trPr>
          <w:trHeight w:hRule="atLeast"/>
        </w:trPr>
        <w:tc>
          <w:tcPr>
            <w:tcW w:type="dxa" w:w="4997"/>
            <w:tcMar>
              <w:top w:w="90" w:type="dxa"/>
              <w:start w:w="90" w:type="dxa"/>
              <w:bottom w:w="90" w:type="dxa"/>
              <w:end w:w="90" w:type="dxa"/>
            </w:tcMar>
            <w:shd w:fill="F5F8FB"/>
            <w:vAlign w:val="center"/>
          </w:tcPr>
          <w:p>
            <w:r>
              <w:rPr>
                <w:b/>
              </w:rPr>
              <w:t>Experiment tracking</w:t>
            </w:r>
          </w:p>
        </w:tc>
        <w:tc>
          <w:tcPr>
            <w:tcW w:type="dxa" w:w="4997"/>
            <w:tcMar>
              <w:top w:w="90" w:type="dxa"/>
              <w:start w:w="90" w:type="dxa"/>
              <w:bottom w:w="90" w:type="dxa"/>
              <w:end w:w="90" w:type="dxa"/>
            </w:tcMar>
            <w:vAlign w:val="center"/>
          </w:tcPr>
          <w:p>
            <w:r>
              <w:t>Versioned YAML/JSON configs, deterministic seeds, structured JSONL logs.</w:t>
            </w:r>
          </w:p>
        </w:tc>
      </w:tr>
      <w:tr>
        <w:trPr>
          <w:trHeight w:hRule="atLeast"/>
        </w:trPr>
        <w:tc>
          <w:tcPr>
            <w:tcW w:type="dxa" w:w="4997"/>
            <w:tcMar>
              <w:top w:w="90" w:type="dxa"/>
              <w:start w:w="90" w:type="dxa"/>
              <w:bottom w:w="90" w:type="dxa"/>
              <w:end w:w="90" w:type="dxa"/>
            </w:tcMar>
            <w:shd w:fill="F5F8FB"/>
            <w:vAlign w:val="center"/>
          </w:tcPr>
          <w:p>
            <w:r>
              <w:rPr>
                <w:b/>
              </w:rPr>
              <w:t>Containerization</w:t>
            </w:r>
          </w:p>
        </w:tc>
        <w:tc>
          <w:tcPr>
            <w:tcW w:type="dxa" w:w="4997"/>
            <w:tcMar>
              <w:top w:w="90" w:type="dxa"/>
              <w:start w:w="90" w:type="dxa"/>
              <w:bottom w:w="90" w:type="dxa"/>
              <w:end w:w="90" w:type="dxa"/>
            </w:tcMar>
            <w:vAlign w:val="center"/>
          </w:tcPr>
          <w:p>
            <w:r>
              <w:t>Docker for repeatability and environment pinning.</w:t>
            </w:r>
          </w:p>
        </w:tc>
      </w:tr>
      <w:tr>
        <w:trPr>
          <w:trHeight w:hRule="atLeast"/>
        </w:trPr>
        <w:tc>
          <w:tcPr>
            <w:tcW w:type="dxa" w:w="4997"/>
            <w:tcMar>
              <w:top w:w="90" w:type="dxa"/>
              <w:start w:w="90" w:type="dxa"/>
              <w:bottom w:w="90" w:type="dxa"/>
              <w:end w:w="90" w:type="dxa"/>
            </w:tcMar>
            <w:shd w:fill="F5F8FB"/>
            <w:vAlign w:val="center"/>
          </w:tcPr>
          <w:p>
            <w:r>
              <w:rPr>
                <w:b/>
              </w:rPr>
              <w:t>LLM layer</w:t>
            </w:r>
          </w:p>
        </w:tc>
        <w:tc>
          <w:tcPr>
            <w:tcW w:type="dxa" w:w="4997"/>
            <w:tcMar>
              <w:top w:w="90" w:type="dxa"/>
              <w:start w:w="90" w:type="dxa"/>
              <w:bottom w:w="90" w:type="dxa"/>
              <w:end w:w="90" w:type="dxa"/>
            </w:tcMar>
            <w:vAlign w:val="center"/>
          </w:tcPr>
          <w:p>
            <w:r>
              <w:t>Optional; use as an external baseline, not as a prerequisite for the core method.</w:t>
            </w:r>
          </w:p>
        </w:tc>
      </w:tr>
    </w:tbl>
    <w:p>
      <w:pPr>
        <w:pStyle w:val="Heading1"/>
      </w:pPr>
      <w:r>
        <w:t>15. Expected Results — Without Fabricating Results</w:t>
      </w:r>
    </w:p>
    <w:p>
      <w:r>
        <w:t>No numerical result should be written into the paper before the experiments are complete. The following are expected result patterns that the protocol is designed to distinguish.</w:t>
      </w:r>
    </w:p>
    <w:tbl>
      <w:tblPr>
        <w:tblStyle w:val="TableGrid"/>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7365D"/>
            <w:tcMar>
              <w:top w:w="90" w:type="dxa"/>
              <w:start w:w="90" w:type="dxa"/>
              <w:bottom w:w="90" w:type="dxa"/>
              <w:end w:w="90" w:type="dxa"/>
            </w:tcMar>
            <w:vAlign w:val="center"/>
          </w:tcPr>
          <w:p>
            <w:r>
              <w:rPr>
                <w:b/>
                <w:color w:val="FFFFFF"/>
                <w:sz w:val="18"/>
              </w:rPr>
              <w:t>Observed pattern</w:t>
            </w:r>
          </w:p>
        </w:tc>
        <w:tc>
          <w:tcPr>
            <w:tcW w:type="dxa" w:w="4997"/>
            <w:shd w:fill="17365D"/>
            <w:tcMar>
              <w:top w:w="90" w:type="dxa"/>
              <w:start w:w="90" w:type="dxa"/>
              <w:bottom w:w="90" w:type="dxa"/>
              <w:end w:w="90" w:type="dxa"/>
            </w:tcMar>
            <w:vAlign w:val="center"/>
          </w:tcPr>
          <w:p>
            <w:r>
              <w:rPr>
                <w:b/>
                <w:color w:val="FFFFFF"/>
                <w:sz w:val="18"/>
              </w:rPr>
              <w:t>Interpretation</w:t>
            </w:r>
          </w:p>
        </w:tc>
      </w:tr>
      <w:tr>
        <w:trPr>
          <w:trHeight w:hRule="atLeast"/>
        </w:trPr>
        <w:tc>
          <w:tcPr>
            <w:tcW w:type="dxa" w:w="4997"/>
            <w:tcMar>
              <w:top w:w="90" w:type="dxa"/>
              <w:start w:w="90" w:type="dxa"/>
              <w:bottom w:w="90" w:type="dxa"/>
              <w:end w:w="90" w:type="dxa"/>
            </w:tcMar>
            <w:vAlign w:val="center"/>
          </w:tcPr>
          <w:p>
            <w:r>
              <w:t>If HADES wins clean + adversarial</w:t>
            </w:r>
          </w:p>
        </w:tc>
        <w:tc>
          <w:tcPr>
            <w:tcW w:type="dxa" w:w="4997"/>
            <w:tcMar>
              <w:top w:w="90" w:type="dxa"/>
              <w:start w:w="90" w:type="dxa"/>
              <w:bottom w:w="90" w:type="dxa"/>
              <w:end w:w="90" w:type="dxa"/>
            </w:tcMar>
            <w:vAlign w:val="center"/>
          </w:tcPr>
          <w:p>
            <w:r>
              <w:t>Strong evidence for a broadly useful acquisition policy.</w:t>
            </w:r>
          </w:p>
        </w:tc>
      </w:tr>
      <w:tr>
        <w:trPr>
          <w:trHeight w:hRule="atLeast"/>
        </w:trPr>
        <w:tc>
          <w:tcPr>
            <w:tcW w:type="dxa" w:w="4997"/>
            <w:tcMar>
              <w:top w:w="90" w:type="dxa"/>
              <w:start w:w="90" w:type="dxa"/>
              <w:bottom w:w="90" w:type="dxa"/>
              <w:end w:w="90" w:type="dxa"/>
            </w:tcMar>
            <w:vAlign w:val="center"/>
          </w:tcPr>
          <w:p>
            <w:r>
              <w:t>If HADES matches IG/cost clean but wins targeted attacks</w:t>
            </w:r>
          </w:p>
        </w:tc>
        <w:tc>
          <w:tcPr>
            <w:tcW w:type="dxa" w:w="4997"/>
            <w:tcMar>
              <w:top w:w="90" w:type="dxa"/>
              <w:start w:w="90" w:type="dxa"/>
              <w:bottom w:w="90" w:type="dxa"/>
              <w:end w:w="90" w:type="dxa"/>
            </w:tcMar>
            <w:vAlign w:val="center"/>
          </w:tcPr>
          <w:p>
            <w:r>
              <w:t>Strong evidence that reliability/manipulation awareness matters specifically under adversarial observation.</w:t>
            </w:r>
          </w:p>
        </w:tc>
      </w:tr>
      <w:tr>
        <w:trPr>
          <w:trHeight w:hRule="atLeast"/>
        </w:trPr>
        <w:tc>
          <w:tcPr>
            <w:tcW w:type="dxa" w:w="4997"/>
            <w:tcMar>
              <w:top w:w="90" w:type="dxa"/>
              <w:start w:w="90" w:type="dxa"/>
              <w:bottom w:w="90" w:type="dxa"/>
              <w:end w:w="90" w:type="dxa"/>
            </w:tcMar>
            <w:vAlign w:val="center"/>
          </w:tcPr>
          <w:p>
            <w:r>
              <w:t>If HADES changes query order but does not improve outcomes</w:t>
            </w:r>
          </w:p>
        </w:tc>
        <w:tc>
          <w:tcPr>
            <w:tcW w:type="dxa" w:w="4997"/>
            <w:tcMar>
              <w:top w:w="90" w:type="dxa"/>
              <w:start w:w="90" w:type="dxa"/>
              <w:bottom w:w="90" w:type="dxa"/>
              <w:end w:w="90" w:type="dxa"/>
            </w:tcMar>
            <w:vAlign w:val="center"/>
          </w:tcPr>
          <w:p>
            <w:r>
              <w:t>The mechanism is behaviorally different but not useful; downgrade or reject it.</w:t>
            </w:r>
          </w:p>
        </w:tc>
      </w:tr>
      <w:tr>
        <w:trPr>
          <w:trHeight w:hRule="atLeast"/>
        </w:trPr>
        <w:tc>
          <w:tcPr>
            <w:tcW w:type="dxa" w:w="4997"/>
            <w:tcMar>
              <w:top w:w="90" w:type="dxa"/>
              <w:start w:w="90" w:type="dxa"/>
              <w:bottom w:w="90" w:type="dxa"/>
              <w:end w:w="90" w:type="dxa"/>
            </w:tcMar>
            <w:vAlign w:val="center"/>
          </w:tcPr>
          <w:p>
            <w:r>
              <w:t>If IG/cost wins everywhere</w:t>
            </w:r>
          </w:p>
        </w:tc>
        <w:tc>
          <w:tcPr>
            <w:tcW w:type="dxa" w:w="4997"/>
            <w:tcMar>
              <w:top w:w="90" w:type="dxa"/>
              <w:start w:w="90" w:type="dxa"/>
              <w:bottom w:w="90" w:type="dxa"/>
              <w:end w:w="90" w:type="dxa"/>
            </w:tcMar>
            <w:vAlign w:val="center"/>
          </w:tcPr>
          <w:p>
            <w:r>
              <w:t>The reliability/adversarial term is unnecessary; kill the method rather than overfit the claim.</w:t>
            </w:r>
          </w:p>
        </w:tc>
      </w:tr>
      <w:tr>
        <w:trPr>
          <w:trHeight w:hRule="atLeast"/>
        </w:trPr>
        <w:tc>
          <w:tcPr>
            <w:tcW w:type="dxa" w:w="4997"/>
            <w:tcMar>
              <w:top w:w="90" w:type="dxa"/>
              <w:start w:w="90" w:type="dxa"/>
              <w:bottom w:w="90" w:type="dxa"/>
              <w:end w:w="90" w:type="dxa"/>
            </w:tcMar>
            <w:vAlign w:val="center"/>
          </w:tcPr>
          <w:p>
            <w:r>
              <w:t>If results vary strongly by campaign</w:t>
            </w:r>
          </w:p>
        </w:tc>
        <w:tc>
          <w:tcPr>
            <w:tcW w:type="dxa" w:w="4997"/>
            <w:tcMar>
              <w:top w:w="90" w:type="dxa"/>
              <w:start w:w="90" w:type="dxa"/>
              <w:bottom w:w="90" w:type="dxa"/>
              <w:end w:w="90" w:type="dxa"/>
            </w:tcMar>
            <w:vAlign w:val="center"/>
          </w:tcPr>
          <w:p>
            <w:r>
              <w:t>Investigate which attack structures benefit from reliability-aware acquisition; this may become the central contribution.</w:t>
            </w:r>
          </w:p>
        </w:tc>
      </w:tr>
    </w:tbl>
    <w:p>
      <w:pPr>
        <w:pStyle w:val="Heading1"/>
      </w:pPr>
      <w:r>
        <w:t>16. Planned IEEE-Style Paper Structure</w:t>
      </w:r>
    </w:p>
    <w:tbl>
      <w:tblPr>
        <w:tblStyle w:val="TableGrid"/>
        <w:tblW w:type="auto" w:w="0"/>
        <w:jc w:val="center"/>
        <w:tblLook w:firstColumn="1" w:firstRow="1" w:lastColumn="0" w:lastRow="0" w:noHBand="0" w:noVBand="1" w:val="04A0"/>
      </w:tblPr>
      <w:tblGrid>
        <w:gridCol w:w="4997"/>
        <w:gridCol w:w="4997"/>
      </w:tblGrid>
      <w:tr>
        <w:trPr>
          <w:trHeight w:hRule="atLeast"/>
          <w:tblHeader w:val="true"/>
        </w:trPr>
        <w:tc>
          <w:tcPr>
            <w:tcW w:type="dxa" w:w="4997"/>
            <w:shd w:fill="17365D"/>
            <w:tcMar>
              <w:top w:w="90" w:type="dxa"/>
              <w:start w:w="90" w:type="dxa"/>
              <w:bottom w:w="90" w:type="dxa"/>
              <w:end w:w="90" w:type="dxa"/>
            </w:tcMar>
            <w:vAlign w:val="center"/>
          </w:tcPr>
          <w:p>
            <w:r>
              <w:rPr>
                <w:b/>
                <w:color w:val="FFFFFF"/>
                <w:sz w:val="18"/>
              </w:rPr>
              <w:t>Section</w:t>
            </w:r>
          </w:p>
        </w:tc>
        <w:tc>
          <w:tcPr>
            <w:tcW w:type="dxa" w:w="4997"/>
            <w:shd w:fill="17365D"/>
            <w:tcMar>
              <w:top w:w="90" w:type="dxa"/>
              <w:start w:w="90" w:type="dxa"/>
              <w:bottom w:w="90" w:type="dxa"/>
              <w:end w:w="90" w:type="dxa"/>
            </w:tcMar>
            <w:vAlign w:val="center"/>
          </w:tcPr>
          <w:p>
            <w:r>
              <w:rPr>
                <w:b/>
                <w:color w:val="FFFFFF"/>
                <w:sz w:val="18"/>
              </w:rPr>
              <w:t>Purpose</w:t>
            </w:r>
          </w:p>
        </w:tc>
      </w:tr>
      <w:tr>
        <w:trPr>
          <w:trHeight w:hRule="atLeast"/>
        </w:trPr>
        <w:tc>
          <w:tcPr>
            <w:tcW w:type="dxa" w:w="4997"/>
            <w:tcMar>
              <w:top w:w="90" w:type="dxa"/>
              <w:start w:w="90" w:type="dxa"/>
              <w:bottom w:w="90" w:type="dxa"/>
              <w:end w:w="90" w:type="dxa"/>
            </w:tcMar>
            <w:shd w:fill="F5F8FB"/>
            <w:vAlign w:val="center"/>
          </w:tcPr>
          <w:p>
            <w:r>
              <w:t>I. Introduction</w:t>
            </w:r>
          </w:p>
        </w:tc>
        <w:tc>
          <w:tcPr>
            <w:tcW w:type="dxa" w:w="4997"/>
            <w:tcMar>
              <w:top w:w="90" w:type="dxa"/>
              <w:start w:w="90" w:type="dxa"/>
              <w:bottom w:w="90" w:type="dxa"/>
              <w:end w:w="90" w:type="dxa"/>
            </w:tcMar>
            <w:vAlign w:val="center"/>
          </w:tcPr>
          <w:p>
            <w:r>
              <w:t>Problem, motivation, CDB evidence, research gap, contributions and hypotheses.</w:t>
            </w:r>
          </w:p>
        </w:tc>
      </w:tr>
      <w:tr>
        <w:trPr>
          <w:trHeight w:hRule="atLeast"/>
        </w:trPr>
        <w:tc>
          <w:tcPr>
            <w:tcW w:type="dxa" w:w="4997"/>
            <w:tcMar>
              <w:top w:w="90" w:type="dxa"/>
              <w:start w:w="90" w:type="dxa"/>
              <w:bottom w:w="90" w:type="dxa"/>
              <w:end w:w="90" w:type="dxa"/>
            </w:tcMar>
            <w:shd w:fill="F5F8FB"/>
            <w:vAlign w:val="center"/>
          </w:tcPr>
          <w:p>
            <w:r>
              <w:t>II. Related Work</w:t>
            </w:r>
          </w:p>
        </w:tc>
        <w:tc>
          <w:tcPr>
            <w:tcW w:type="dxa" w:w="4997"/>
            <w:tcMar>
              <w:top w:w="90" w:type="dxa"/>
              <w:start w:w="90" w:type="dxa"/>
              <w:bottom w:w="90" w:type="dxa"/>
              <w:end w:w="90" w:type="dxa"/>
            </w:tcMar>
            <w:vAlign w:val="center"/>
          </w:tcPr>
          <w:p>
            <w:r>
              <w:t>Cyber threat hunting, evidence acquisition, cost-aware retrieval, adversarial evidence, stopping/abstention.</w:t>
            </w:r>
          </w:p>
        </w:tc>
      </w:tr>
      <w:tr>
        <w:trPr>
          <w:trHeight w:hRule="atLeast"/>
        </w:trPr>
        <w:tc>
          <w:tcPr>
            <w:tcW w:type="dxa" w:w="4997"/>
            <w:tcMar>
              <w:top w:w="90" w:type="dxa"/>
              <w:start w:w="90" w:type="dxa"/>
              <w:bottom w:w="90" w:type="dxa"/>
              <w:end w:w="90" w:type="dxa"/>
            </w:tcMar>
            <w:shd w:fill="F5F8FB"/>
            <w:vAlign w:val="center"/>
          </w:tcPr>
          <w:p>
            <w:r>
              <w:t>III. Problem Formulation</w:t>
            </w:r>
          </w:p>
        </w:tc>
        <w:tc>
          <w:tcPr>
            <w:tcW w:type="dxa" w:w="4997"/>
            <w:tcMar>
              <w:top w:w="90" w:type="dxa"/>
              <w:start w:w="90" w:type="dxa"/>
              <w:bottom w:w="90" w:type="dxa"/>
              <w:end w:w="90" w:type="dxa"/>
            </w:tcMar>
            <w:vAlign w:val="center"/>
          </w:tcPr>
          <w:p>
            <w:r>
              <w:t>Hypothesis state, query actions, costs, reliability, manipulation model and stopping criterion.</w:t>
            </w:r>
          </w:p>
        </w:tc>
      </w:tr>
      <w:tr>
        <w:trPr>
          <w:trHeight w:hRule="atLeast"/>
        </w:trPr>
        <w:tc>
          <w:tcPr>
            <w:tcW w:type="dxa" w:w="4997"/>
            <w:tcMar>
              <w:top w:w="90" w:type="dxa"/>
              <w:start w:w="90" w:type="dxa"/>
              <w:bottom w:w="90" w:type="dxa"/>
              <w:end w:w="90" w:type="dxa"/>
            </w:tcMar>
            <w:shd w:fill="F5F8FB"/>
            <w:vAlign w:val="center"/>
          </w:tcPr>
          <w:p>
            <w:r>
              <w:t>IV. HADES Policy</w:t>
            </w:r>
          </w:p>
        </w:tc>
        <w:tc>
          <w:tcPr>
            <w:tcW w:type="dxa" w:w="4997"/>
            <w:tcMar>
              <w:top w:w="90" w:type="dxa"/>
              <w:start w:w="90" w:type="dxa"/>
              <w:bottom w:w="90" w:type="dxa"/>
              <w:end w:w="90" w:type="dxa"/>
            </w:tcMar>
            <w:vAlign w:val="center"/>
          </w:tcPr>
          <w:p>
            <w:r>
              <w:t>Transparent acquisition policy; no unnecessary model complexity.</w:t>
            </w:r>
          </w:p>
        </w:tc>
      </w:tr>
      <w:tr>
        <w:trPr>
          <w:trHeight w:hRule="atLeast"/>
        </w:trPr>
        <w:tc>
          <w:tcPr>
            <w:tcW w:type="dxa" w:w="4997"/>
            <w:tcMar>
              <w:top w:w="90" w:type="dxa"/>
              <w:start w:w="90" w:type="dxa"/>
              <w:bottom w:w="90" w:type="dxa"/>
              <w:end w:w="90" w:type="dxa"/>
            </w:tcMar>
            <w:shd w:fill="F5F8FB"/>
            <w:vAlign w:val="center"/>
          </w:tcPr>
          <w:p>
            <w:r>
              <w:t>V. Experimental Methodology</w:t>
            </w:r>
          </w:p>
        </w:tc>
        <w:tc>
          <w:tcPr>
            <w:tcW w:type="dxa" w:w="4997"/>
            <w:tcMar>
              <w:top w:w="90" w:type="dxa"/>
              <w:start w:w="90" w:type="dxa"/>
              <w:bottom w:w="90" w:type="dxa"/>
              <w:end w:w="90" w:type="dxa"/>
            </w:tcMar>
            <w:vAlign w:val="center"/>
          </w:tcPr>
          <w:p>
            <w:r>
              <w:t>CDB, stress regimes, policies, seeds, metrics and statistical design.</w:t>
            </w:r>
          </w:p>
        </w:tc>
      </w:tr>
      <w:tr>
        <w:trPr>
          <w:trHeight w:hRule="atLeast"/>
        </w:trPr>
        <w:tc>
          <w:tcPr>
            <w:tcW w:type="dxa" w:w="4997"/>
            <w:tcMar>
              <w:top w:w="90" w:type="dxa"/>
              <w:start w:w="90" w:type="dxa"/>
              <w:bottom w:w="90" w:type="dxa"/>
              <w:end w:w="90" w:type="dxa"/>
            </w:tcMar>
            <w:shd w:fill="F5F8FB"/>
            <w:vAlign w:val="center"/>
          </w:tcPr>
          <w:p>
            <w:r>
              <w:t>VI. Results</w:t>
            </w:r>
          </w:p>
        </w:tc>
        <w:tc>
          <w:tcPr>
            <w:tcW w:type="dxa" w:w="4997"/>
            <w:tcMar>
              <w:top w:w="90" w:type="dxa"/>
              <w:start w:w="90" w:type="dxa"/>
              <w:bottom w:w="90" w:type="dxa"/>
              <w:end w:w="90" w:type="dxa"/>
            </w:tcMar>
            <w:vAlign w:val="center"/>
          </w:tcPr>
          <w:p>
            <w:r>
              <w:t>RQ1 efficiency, RQ2 adversarial robustness, RQ3 stopping; confidence intervals and effect sizes.</w:t>
            </w:r>
          </w:p>
        </w:tc>
      </w:tr>
      <w:tr>
        <w:trPr>
          <w:trHeight w:hRule="atLeast"/>
        </w:trPr>
        <w:tc>
          <w:tcPr>
            <w:tcW w:type="dxa" w:w="4997"/>
            <w:tcMar>
              <w:top w:w="90" w:type="dxa"/>
              <w:start w:w="90" w:type="dxa"/>
              <w:bottom w:w="90" w:type="dxa"/>
              <w:end w:w="90" w:type="dxa"/>
            </w:tcMar>
            <w:shd w:fill="F5F8FB"/>
            <w:vAlign w:val="center"/>
          </w:tcPr>
          <w:p>
            <w:r>
              <w:t>VII. Ablation and Failure Analysis</w:t>
            </w:r>
          </w:p>
        </w:tc>
        <w:tc>
          <w:tcPr>
            <w:tcW w:type="dxa" w:w="4997"/>
            <w:tcMar>
              <w:top w:w="90" w:type="dxa"/>
              <w:start w:w="90" w:type="dxa"/>
              <w:bottom w:w="90" w:type="dxa"/>
              <w:end w:w="90" w:type="dxa"/>
            </w:tcMar>
            <w:vAlign w:val="center"/>
          </w:tcPr>
          <w:p>
            <w:r>
              <w:t>Contribution decomposition, failure cases, policy pathologies.</w:t>
            </w:r>
          </w:p>
        </w:tc>
      </w:tr>
      <w:tr>
        <w:trPr>
          <w:trHeight w:hRule="atLeast"/>
        </w:trPr>
        <w:tc>
          <w:tcPr>
            <w:tcW w:type="dxa" w:w="4997"/>
            <w:tcMar>
              <w:top w:w="90" w:type="dxa"/>
              <w:start w:w="90" w:type="dxa"/>
              <w:bottom w:w="90" w:type="dxa"/>
              <w:end w:w="90" w:type="dxa"/>
            </w:tcMar>
            <w:shd w:fill="F5F8FB"/>
            <w:vAlign w:val="center"/>
          </w:tcPr>
          <w:p>
            <w:r>
              <w:t>VIII. Threats to Validity</w:t>
            </w:r>
          </w:p>
        </w:tc>
        <w:tc>
          <w:tcPr>
            <w:tcW w:type="dxa" w:w="4997"/>
            <w:tcMar>
              <w:top w:w="90" w:type="dxa"/>
              <w:start w:w="90" w:type="dxa"/>
              <w:bottom w:w="90" w:type="dxa"/>
              <w:end w:w="90" w:type="dxa"/>
            </w:tcMar>
            <w:vAlign w:val="center"/>
          </w:tcPr>
          <w:p>
            <w:r>
              <w:t>Benchmark bias, corruption realism, reliability assumptions and external validity.</w:t>
            </w:r>
          </w:p>
        </w:tc>
      </w:tr>
      <w:tr>
        <w:trPr>
          <w:trHeight w:hRule="atLeast"/>
        </w:trPr>
        <w:tc>
          <w:tcPr>
            <w:tcW w:type="dxa" w:w="4997"/>
            <w:tcMar>
              <w:top w:w="90" w:type="dxa"/>
              <w:start w:w="90" w:type="dxa"/>
              <w:bottom w:w="90" w:type="dxa"/>
              <w:end w:w="90" w:type="dxa"/>
            </w:tcMar>
            <w:shd w:fill="F5F8FB"/>
            <w:vAlign w:val="center"/>
          </w:tcPr>
          <w:p>
            <w:r>
              <w:t>IX. Reproducibility</w:t>
            </w:r>
          </w:p>
        </w:tc>
        <w:tc>
          <w:tcPr>
            <w:tcW w:type="dxa" w:w="4997"/>
            <w:tcMar>
              <w:top w:w="90" w:type="dxa"/>
              <w:start w:w="90" w:type="dxa"/>
              <w:bottom w:w="90" w:type="dxa"/>
              <w:end w:w="90" w:type="dxa"/>
            </w:tcMar>
            <w:vAlign w:val="center"/>
          </w:tcPr>
          <w:p>
            <w:r>
              <w:t>Code, configs, seeds, environment, artifact instructions.</w:t>
            </w:r>
          </w:p>
        </w:tc>
      </w:tr>
      <w:tr>
        <w:trPr>
          <w:trHeight w:hRule="atLeast"/>
        </w:trPr>
        <w:tc>
          <w:tcPr>
            <w:tcW w:type="dxa" w:w="4997"/>
            <w:tcMar>
              <w:top w:w="90" w:type="dxa"/>
              <w:start w:w="90" w:type="dxa"/>
              <w:bottom w:w="90" w:type="dxa"/>
              <w:end w:w="90" w:type="dxa"/>
            </w:tcMar>
            <w:shd w:fill="F5F8FB"/>
            <w:vAlign w:val="center"/>
          </w:tcPr>
          <w:p>
            <w:r>
              <w:t>X. Conclusion</w:t>
            </w:r>
          </w:p>
        </w:tc>
        <w:tc>
          <w:tcPr>
            <w:tcW w:type="dxa" w:w="4997"/>
            <w:tcMar>
              <w:top w:w="90" w:type="dxa"/>
              <w:start w:w="90" w:type="dxa"/>
              <w:bottom w:w="90" w:type="dxa"/>
              <w:end w:w="90" w:type="dxa"/>
            </w:tcMar>
            <w:vAlign w:val="center"/>
          </w:tcPr>
          <w:p>
            <w:r>
              <w:t>What the experiments establish—and what they do not.</w:t>
            </w:r>
          </w:p>
        </w:tc>
      </w:tr>
    </w:tbl>
    <w:p>
      <w:pPr>
        <w:pStyle w:val="Heading1"/>
      </w:pPr>
      <w:r>
        <w:t>17. Main Risks and Mitigations</w:t>
      </w:r>
    </w:p>
    <w:tbl>
      <w:tblPr>
        <w:tblStyle w:val="TableGrid"/>
        <w:tblW w:type="auto" w:w="0"/>
        <w:jc w:val="center"/>
        <w:tblLook w:firstColumn="1" w:firstRow="1" w:lastColumn="0" w:lastRow="0" w:noHBand="0" w:noVBand="1" w:val="04A0"/>
      </w:tblPr>
      <w:tblGrid>
        <w:gridCol w:w="3331"/>
        <w:gridCol w:w="3331"/>
        <w:gridCol w:w="3331"/>
      </w:tblGrid>
      <w:tr>
        <w:trPr>
          <w:trHeight w:hRule="atLeast"/>
          <w:tblHeader w:val="true"/>
        </w:trPr>
        <w:tc>
          <w:tcPr>
            <w:tcW w:type="dxa" w:w="3331"/>
            <w:shd w:fill="17365D"/>
            <w:tcMar>
              <w:top w:w="90" w:type="dxa"/>
              <w:start w:w="90" w:type="dxa"/>
              <w:bottom w:w="90" w:type="dxa"/>
              <w:end w:w="90" w:type="dxa"/>
            </w:tcMar>
            <w:vAlign w:val="center"/>
          </w:tcPr>
          <w:p>
            <w:r>
              <w:rPr>
                <w:b/>
                <w:color w:val="FFFFFF"/>
                <w:sz w:val="17"/>
              </w:rPr>
              <w:t>Risk</w:t>
            </w:r>
          </w:p>
        </w:tc>
        <w:tc>
          <w:tcPr>
            <w:tcW w:type="dxa" w:w="3331"/>
            <w:shd w:fill="17365D"/>
            <w:tcMar>
              <w:top w:w="90" w:type="dxa"/>
              <w:start w:w="90" w:type="dxa"/>
              <w:bottom w:w="90" w:type="dxa"/>
              <w:end w:w="90" w:type="dxa"/>
            </w:tcMar>
            <w:vAlign w:val="center"/>
          </w:tcPr>
          <w:p>
            <w:r>
              <w:rPr>
                <w:b/>
                <w:color w:val="FFFFFF"/>
                <w:sz w:val="17"/>
              </w:rPr>
              <w:t>What could go wrong</w:t>
            </w:r>
          </w:p>
        </w:tc>
        <w:tc>
          <w:tcPr>
            <w:tcW w:type="dxa" w:w="3331"/>
            <w:shd w:fill="17365D"/>
            <w:tcMar>
              <w:top w:w="90" w:type="dxa"/>
              <w:start w:w="90" w:type="dxa"/>
              <w:bottom w:w="90" w:type="dxa"/>
              <w:end w:w="90" w:type="dxa"/>
            </w:tcMar>
            <w:vAlign w:val="center"/>
          </w:tcPr>
          <w:p>
            <w:r>
              <w:rPr>
                <w:b/>
                <w:color w:val="FFFFFF"/>
                <w:sz w:val="17"/>
              </w:rPr>
              <w:t>Mitigation</w:t>
            </w:r>
          </w:p>
        </w:tc>
      </w:tr>
      <w:tr>
        <w:trPr>
          <w:trHeight w:hRule="atLeast"/>
        </w:trPr>
        <w:tc>
          <w:tcPr>
            <w:tcW w:type="dxa" w:w="3331"/>
            <w:tcMar>
              <w:top w:w="90" w:type="dxa"/>
              <w:start w:w="90" w:type="dxa"/>
              <w:bottom w:w="90" w:type="dxa"/>
              <w:end w:w="90" w:type="dxa"/>
            </w:tcMar>
            <w:shd w:fill="FCE4D6"/>
            <w:vAlign w:val="center"/>
          </w:tcPr>
          <w:p>
            <w:r>
              <w:rPr>
                <w:sz w:val="16"/>
              </w:rPr>
              <w:t>Novelty risk</w:t>
            </w:r>
          </w:p>
        </w:tc>
        <w:tc>
          <w:tcPr>
            <w:tcW w:type="dxa" w:w="3331"/>
            <w:tcMar>
              <w:top w:w="90" w:type="dxa"/>
              <w:start w:w="90" w:type="dxa"/>
              <w:bottom w:w="90" w:type="dxa"/>
              <w:end w:w="90" w:type="dxa"/>
            </w:tcMar>
            <w:vAlign w:val="center"/>
          </w:tcPr>
          <w:p>
            <w:r>
              <w:rPr>
                <w:sz w:val="16"/>
              </w:rPr>
              <w:t>A new 2026 paper may occupy the exact gap before submission.</w:t>
            </w:r>
          </w:p>
        </w:tc>
        <w:tc>
          <w:tcPr>
            <w:tcW w:type="dxa" w:w="3331"/>
            <w:tcMar>
              <w:top w:w="90" w:type="dxa"/>
              <w:start w:w="90" w:type="dxa"/>
              <w:bottom w:w="90" w:type="dxa"/>
              <w:end w:w="90" w:type="dxa"/>
            </w:tcMar>
            <w:vAlign w:val="center"/>
          </w:tcPr>
          <w:p>
            <w:r>
              <w:rPr>
                <w:sz w:val="16"/>
              </w:rPr>
              <w:t>Maintain a live related-work matrix; run a final novelty audit immediately before submission.</w:t>
            </w:r>
          </w:p>
        </w:tc>
      </w:tr>
      <w:tr>
        <w:trPr>
          <w:trHeight w:hRule="atLeast"/>
        </w:trPr>
        <w:tc>
          <w:tcPr>
            <w:tcW w:type="dxa" w:w="3331"/>
            <w:tcMar>
              <w:top w:w="90" w:type="dxa"/>
              <w:start w:w="90" w:type="dxa"/>
              <w:bottom w:w="90" w:type="dxa"/>
              <w:end w:w="90" w:type="dxa"/>
            </w:tcMar>
            <w:shd w:fill="FCE4D6"/>
            <w:vAlign w:val="center"/>
          </w:tcPr>
          <w:p>
            <w:r>
              <w:rPr>
                <w:sz w:val="16"/>
              </w:rPr>
              <w:t>Triviality risk</w:t>
            </w:r>
          </w:p>
        </w:tc>
        <w:tc>
          <w:tcPr>
            <w:tcW w:type="dxa" w:w="3331"/>
            <w:tcMar>
              <w:top w:w="90" w:type="dxa"/>
              <w:start w:w="90" w:type="dxa"/>
              <w:bottom w:w="90" w:type="dxa"/>
              <w:end w:w="90" w:type="dxa"/>
            </w:tcMar>
            <w:vAlign w:val="center"/>
          </w:tcPr>
          <w:p>
            <w:r>
              <w:rPr>
                <w:sz w:val="16"/>
              </w:rPr>
              <w:t>HADES reduces to IG/cost plus a penalty term.</w:t>
            </w:r>
          </w:p>
        </w:tc>
        <w:tc>
          <w:tcPr>
            <w:tcW w:type="dxa" w:w="3331"/>
            <w:tcMar>
              <w:top w:w="90" w:type="dxa"/>
              <w:start w:w="90" w:type="dxa"/>
              <w:bottom w:w="90" w:type="dxa"/>
              <w:end w:w="90" w:type="dxa"/>
            </w:tcMar>
            <w:vAlign w:val="center"/>
          </w:tcPr>
          <w:p>
            <w:r>
              <w:rPr>
                <w:sz w:val="16"/>
              </w:rPr>
              <w:t>Require order-flip + outcome evidence; otherwise downgrade/kill.</w:t>
            </w:r>
          </w:p>
        </w:tc>
      </w:tr>
      <w:tr>
        <w:trPr>
          <w:trHeight w:hRule="atLeast"/>
        </w:trPr>
        <w:tc>
          <w:tcPr>
            <w:tcW w:type="dxa" w:w="3331"/>
            <w:tcMar>
              <w:top w:w="90" w:type="dxa"/>
              <w:start w:w="90" w:type="dxa"/>
              <w:bottom w:w="90" w:type="dxa"/>
              <w:end w:w="90" w:type="dxa"/>
            </w:tcMar>
            <w:shd w:fill="FCE4D6"/>
            <w:vAlign w:val="center"/>
          </w:tcPr>
          <w:p>
            <w:r>
              <w:rPr>
                <w:sz w:val="16"/>
              </w:rPr>
              <w:t>Threat-model risk</w:t>
            </w:r>
          </w:p>
        </w:tc>
        <w:tc>
          <w:tcPr>
            <w:tcW w:type="dxa" w:w="3331"/>
            <w:tcMar>
              <w:top w:w="90" w:type="dxa"/>
              <w:start w:w="90" w:type="dxa"/>
              <w:bottom w:w="90" w:type="dxa"/>
              <w:end w:w="90" w:type="dxa"/>
            </w:tcMar>
            <w:vAlign w:val="center"/>
          </w:tcPr>
          <w:p>
            <w:r>
              <w:rPr>
                <w:sz w:val="16"/>
              </w:rPr>
              <w:t>Telemetry corruption is unrealistic.</w:t>
            </w:r>
          </w:p>
        </w:tc>
        <w:tc>
          <w:tcPr>
            <w:tcW w:type="dxa" w:w="3331"/>
            <w:tcMar>
              <w:top w:w="90" w:type="dxa"/>
              <w:start w:w="90" w:type="dxa"/>
              <w:bottom w:w="90" w:type="dxa"/>
              <w:end w:w="90" w:type="dxa"/>
            </w:tcMar>
            <w:vAlign w:val="center"/>
          </w:tcPr>
          <w:p>
            <w:r>
              <w:rPr>
                <w:sz w:val="16"/>
              </w:rPr>
              <w:t>Ground each corruption mode in attacker-controlled telemetry pathways and state assumptions explicitly.</w:t>
            </w:r>
          </w:p>
        </w:tc>
      </w:tr>
      <w:tr>
        <w:trPr>
          <w:trHeight w:hRule="atLeast"/>
        </w:trPr>
        <w:tc>
          <w:tcPr>
            <w:tcW w:type="dxa" w:w="3331"/>
            <w:tcMar>
              <w:top w:w="90" w:type="dxa"/>
              <w:start w:w="90" w:type="dxa"/>
              <w:bottom w:w="90" w:type="dxa"/>
              <w:end w:w="90" w:type="dxa"/>
            </w:tcMar>
            <w:shd w:fill="FCE4D6"/>
            <w:vAlign w:val="center"/>
          </w:tcPr>
          <w:p>
            <w:r>
              <w:rPr>
                <w:sz w:val="16"/>
              </w:rPr>
              <w:t>Benchmark risk</w:t>
            </w:r>
          </w:p>
        </w:tc>
        <w:tc>
          <w:tcPr>
            <w:tcW w:type="dxa" w:w="3331"/>
            <w:tcMar>
              <w:top w:w="90" w:type="dxa"/>
              <w:start w:w="90" w:type="dxa"/>
              <w:bottom w:w="90" w:type="dxa"/>
              <w:end w:w="90" w:type="dxa"/>
            </w:tcMar>
            <w:vAlign w:val="center"/>
          </w:tcPr>
          <w:p>
            <w:r>
              <w:rPr>
                <w:sz w:val="16"/>
              </w:rPr>
              <w:t>CDB results do not generalize.</w:t>
            </w:r>
          </w:p>
        </w:tc>
        <w:tc>
          <w:tcPr>
            <w:tcW w:type="dxa" w:w="3331"/>
            <w:tcMar>
              <w:top w:w="90" w:type="dxa"/>
              <w:start w:w="90" w:type="dxa"/>
              <w:bottom w:w="90" w:type="dxa"/>
              <w:end w:w="90" w:type="dxa"/>
            </w:tcMar>
            <w:vAlign w:val="center"/>
          </w:tcPr>
          <w:p>
            <w:r>
              <w:rPr>
                <w:sz w:val="16"/>
              </w:rPr>
              <w:t>Use a second environment for external validation or narrow claims.</w:t>
            </w:r>
          </w:p>
        </w:tc>
      </w:tr>
      <w:tr>
        <w:trPr>
          <w:trHeight w:hRule="atLeast"/>
        </w:trPr>
        <w:tc>
          <w:tcPr>
            <w:tcW w:type="dxa" w:w="3331"/>
            <w:tcMar>
              <w:top w:w="90" w:type="dxa"/>
              <w:start w:w="90" w:type="dxa"/>
              <w:bottom w:w="90" w:type="dxa"/>
              <w:end w:w="90" w:type="dxa"/>
            </w:tcMar>
            <w:shd w:fill="FCE4D6"/>
            <w:vAlign w:val="center"/>
          </w:tcPr>
          <w:p>
            <w:r>
              <w:rPr>
                <w:sz w:val="16"/>
              </w:rPr>
              <w:t>Reliability risk</w:t>
            </w:r>
          </w:p>
        </w:tc>
        <w:tc>
          <w:tcPr>
            <w:tcW w:type="dxa" w:w="3331"/>
            <w:tcMar>
              <w:top w:w="90" w:type="dxa"/>
              <w:start w:w="90" w:type="dxa"/>
              <w:bottom w:w="90" w:type="dxa"/>
              <w:end w:w="90" w:type="dxa"/>
            </w:tcMar>
            <w:vAlign w:val="center"/>
          </w:tcPr>
          <w:p>
            <w:r>
              <w:rPr>
                <w:sz w:val="16"/>
              </w:rPr>
              <w:t>Reliability estimates are arbitrary.</w:t>
            </w:r>
          </w:p>
        </w:tc>
        <w:tc>
          <w:tcPr>
            <w:tcW w:type="dxa" w:w="3331"/>
            <w:tcMar>
              <w:top w:w="90" w:type="dxa"/>
              <w:start w:w="90" w:type="dxa"/>
              <w:bottom w:w="90" w:type="dxa"/>
              <w:end w:w="90" w:type="dxa"/>
            </w:tcMar>
            <w:vAlign w:val="center"/>
          </w:tcPr>
          <w:p>
            <w:r>
              <w:rPr>
                <w:sz w:val="16"/>
              </w:rPr>
              <w:t>Separate true experimental reliability from estimated reliability; test sensitivity and calibration.</w:t>
            </w:r>
          </w:p>
        </w:tc>
      </w:tr>
      <w:tr>
        <w:trPr>
          <w:trHeight w:hRule="atLeast"/>
        </w:trPr>
        <w:tc>
          <w:tcPr>
            <w:tcW w:type="dxa" w:w="3331"/>
            <w:tcMar>
              <w:top w:w="90" w:type="dxa"/>
              <w:start w:w="90" w:type="dxa"/>
              <w:bottom w:w="90" w:type="dxa"/>
              <w:end w:w="90" w:type="dxa"/>
            </w:tcMar>
            <w:shd w:fill="FCE4D6"/>
            <w:vAlign w:val="center"/>
          </w:tcPr>
          <w:p>
            <w:r>
              <w:rPr>
                <w:sz w:val="16"/>
              </w:rPr>
              <w:t>LLM confounding</w:t>
            </w:r>
          </w:p>
        </w:tc>
        <w:tc>
          <w:tcPr>
            <w:tcW w:type="dxa" w:w="3331"/>
            <w:tcMar>
              <w:top w:w="90" w:type="dxa"/>
              <w:start w:w="90" w:type="dxa"/>
              <w:bottom w:w="90" w:type="dxa"/>
              <w:end w:w="90" w:type="dxa"/>
            </w:tcMar>
            <w:vAlign w:val="center"/>
          </w:tcPr>
          <w:p>
            <w:r>
              <w:rPr>
                <w:sz w:val="16"/>
              </w:rPr>
              <w:t>A larger model could dominate due to reasoning power.</w:t>
            </w:r>
          </w:p>
        </w:tc>
        <w:tc>
          <w:tcPr>
            <w:tcW w:type="dxa" w:w="3331"/>
            <w:tcMar>
              <w:top w:w="90" w:type="dxa"/>
              <w:start w:w="90" w:type="dxa"/>
              <w:bottom w:w="90" w:type="dxa"/>
              <w:end w:w="90" w:type="dxa"/>
            </w:tcMar>
            <w:vAlign w:val="center"/>
          </w:tcPr>
          <w:p>
            <w:r>
              <w:rPr>
                <w:sz w:val="16"/>
              </w:rPr>
              <w:t>Treat LLMs as external baselines; keep the core policy model-independent.</w:t>
            </w:r>
          </w:p>
        </w:tc>
      </w:tr>
      <w:tr>
        <w:trPr>
          <w:trHeight w:hRule="atLeast"/>
        </w:trPr>
        <w:tc>
          <w:tcPr>
            <w:tcW w:type="dxa" w:w="3331"/>
            <w:tcMar>
              <w:top w:w="90" w:type="dxa"/>
              <w:start w:w="90" w:type="dxa"/>
              <w:bottom w:w="90" w:type="dxa"/>
              <w:end w:w="90" w:type="dxa"/>
            </w:tcMar>
            <w:shd w:fill="FCE4D6"/>
            <w:vAlign w:val="center"/>
          </w:tcPr>
          <w:p>
            <w:r>
              <w:rPr>
                <w:sz w:val="16"/>
              </w:rPr>
              <w:t>Scope creep</w:t>
            </w:r>
          </w:p>
        </w:tc>
        <w:tc>
          <w:tcPr>
            <w:tcW w:type="dxa" w:w="3331"/>
            <w:tcMar>
              <w:top w:w="90" w:type="dxa"/>
              <w:start w:w="90" w:type="dxa"/>
              <w:bottom w:w="90" w:type="dxa"/>
              <w:end w:w="90" w:type="dxa"/>
            </w:tcMar>
            <w:vAlign w:val="center"/>
          </w:tcPr>
          <w:p>
            <w:r>
              <w:rPr>
                <w:sz w:val="16"/>
              </w:rPr>
              <w:t>Agent orchestration, RAG and multiple environments consume the project.</w:t>
            </w:r>
          </w:p>
        </w:tc>
        <w:tc>
          <w:tcPr>
            <w:tcW w:type="dxa" w:w="3331"/>
            <w:tcMar>
              <w:top w:w="90" w:type="dxa"/>
              <w:start w:w="90" w:type="dxa"/>
              <w:bottom w:w="90" w:type="dxa"/>
              <w:end w:w="90" w:type="dxa"/>
            </w:tcMar>
            <w:vAlign w:val="center"/>
          </w:tcPr>
          <w:p>
            <w:r>
              <w:rPr>
                <w:sz w:val="16"/>
              </w:rPr>
              <w:t>Lock Phase 1 around the smallest falsifiable simulator; add components only after gates pass.</w:t>
            </w:r>
          </w:p>
        </w:tc>
      </w:tr>
    </w:tbl>
    <w:p>
      <w:pPr>
        <w:pStyle w:val="Heading1"/>
      </w:pPr>
      <w:r>
        <w:t>18. Why HADES Is the Current #1 for the Target Profile</w:t>
      </w:r>
    </w:p>
    <w:tbl>
      <w:tblPr>
        <w:tblW w:type="auto" w:w="0"/>
        <w:jc w:val="center"/>
        <w:tblLook w:firstColumn="1" w:firstRow="1" w:lastColumn="0" w:lastRow="0" w:noHBand="0" w:noVBand="1" w:val="04A0"/>
      </w:tblPr>
      <w:tblGrid>
        <w:gridCol w:w="9994"/>
      </w:tblGrid>
      <w:tr>
        <w:trPr>
          <w:trHeight w:hRule="atLeast"/>
        </w:trPr>
        <w:tc>
          <w:tcPr>
            <w:tcW w:type="dxa" w:w="9994"/>
            <w:shd w:fill="F5F8FB"/>
            <w:tcMar>
              <w:top w:w="110" w:type="dxa"/>
              <w:start w:w="160" w:type="dxa"/>
              <w:bottom w:w="110" w:type="dxa"/>
              <w:end w:w="160" w:type="dxa"/>
            </w:tcMar>
            <w:vAlign w:val="center"/>
          </w:tcPr>
          <w:p>
            <w:r>
              <w:rPr>
                <w:b/>
              </w:rPr>
              <w:t xml:space="preserve">Research identity — </w:t>
            </w:r>
            <w:r>
              <w:t>It frames the applicant as someone investigating a decision problem in cybersecurity, not merely integrating popular tools.</w:t>
            </w:r>
          </w:p>
        </w:tc>
      </w:tr>
    </w:tbl>
    <w:tbl>
      <w:tblPr>
        <w:tblW w:type="auto" w:w="0"/>
        <w:jc w:val="center"/>
        <w:tblLook w:firstColumn="1" w:firstRow="1" w:lastColumn="0" w:lastRow="0" w:noHBand="0" w:noVBand="1" w:val="04A0"/>
      </w:tblPr>
      <w:tblGrid>
        <w:gridCol w:w="9994"/>
      </w:tblGrid>
      <w:tr>
        <w:trPr>
          <w:trHeight w:hRule="atLeast"/>
        </w:trPr>
        <w:tc>
          <w:tcPr>
            <w:tcW w:type="dxa" w:w="9994"/>
            <w:shd w:fill="F5F8FB"/>
            <w:tcMar>
              <w:top w:w="110" w:type="dxa"/>
              <w:start w:w="160" w:type="dxa"/>
              <w:bottom w:w="110" w:type="dxa"/>
              <w:end w:w="160" w:type="dxa"/>
            </w:tcMar>
            <w:vAlign w:val="center"/>
          </w:tcPr>
          <w:p>
            <w:r>
              <w:rPr>
                <w:b/>
              </w:rPr>
              <w:t xml:space="preserve">Data-science signal — </w:t>
            </w:r>
            <w:r>
              <w:t>The work uses hypothesis modeling, information gain, uncertainty, experiment design and statistical inference.</w:t>
            </w:r>
          </w:p>
        </w:tc>
      </w:tr>
    </w:tbl>
    <w:tbl>
      <w:tblPr>
        <w:tblW w:type="auto" w:w="0"/>
        <w:jc w:val="center"/>
        <w:tblLook w:firstColumn="1" w:firstRow="1" w:lastColumn="0" w:lastRow="0" w:noHBand="0" w:noVBand="1" w:val="04A0"/>
      </w:tblPr>
      <w:tblGrid>
        <w:gridCol w:w="9994"/>
      </w:tblGrid>
      <w:tr>
        <w:trPr>
          <w:trHeight w:hRule="atLeast"/>
        </w:trPr>
        <w:tc>
          <w:tcPr>
            <w:tcW w:type="dxa" w:w="9994"/>
            <w:shd w:fill="F5F8FB"/>
            <w:tcMar>
              <w:top w:w="110" w:type="dxa"/>
              <w:start w:w="160" w:type="dxa"/>
              <w:bottom w:w="110" w:type="dxa"/>
              <w:end w:w="160" w:type="dxa"/>
            </w:tcMar>
            <w:vAlign w:val="center"/>
          </w:tcPr>
          <w:p>
            <w:r>
              <w:rPr>
                <w:b/>
              </w:rPr>
              <w:t xml:space="preserve">Cybersecurity depth — </w:t>
            </w:r>
            <w:r>
              <w:t>It requires understanding telemetry, threat hunting, attack procedures, evidence integrity and attacker behavior.</w:t>
            </w:r>
          </w:p>
        </w:tc>
      </w:tr>
    </w:tbl>
    <w:tbl>
      <w:tblPr>
        <w:tblW w:type="auto" w:w="0"/>
        <w:jc w:val="center"/>
        <w:tblLook w:firstColumn="1" w:firstRow="1" w:lastColumn="0" w:lastRow="0" w:noHBand="0" w:noVBand="1" w:val="04A0"/>
      </w:tblPr>
      <w:tblGrid>
        <w:gridCol w:w="9994"/>
      </w:tblGrid>
      <w:tr>
        <w:trPr>
          <w:trHeight w:hRule="atLeast"/>
        </w:trPr>
        <w:tc>
          <w:tcPr>
            <w:tcW w:type="dxa" w:w="9994"/>
            <w:shd w:fill="F5F8FB"/>
            <w:tcMar>
              <w:top w:w="110" w:type="dxa"/>
              <w:start w:w="160" w:type="dxa"/>
              <w:bottom w:w="110" w:type="dxa"/>
              <w:end w:w="160" w:type="dxa"/>
            </w:tcMar>
            <w:vAlign w:val="center"/>
          </w:tcPr>
          <w:p>
            <w:r>
              <w:rPr>
                <w:b/>
              </w:rPr>
              <w:t xml:space="preserve">Engineering signal — </w:t>
            </w:r>
            <w:r>
              <w:t>The artifact is a reproducible investigation engine and benchmark extension, not a notebook-only classifier.</w:t>
            </w:r>
          </w:p>
        </w:tc>
      </w:tr>
    </w:tbl>
    <w:tbl>
      <w:tblPr>
        <w:tblW w:type="auto" w:w="0"/>
        <w:jc w:val="center"/>
        <w:tblLook w:firstColumn="1" w:firstRow="1" w:lastColumn="0" w:lastRow="0" w:noHBand="0" w:noVBand="1" w:val="04A0"/>
      </w:tblPr>
      <w:tblGrid>
        <w:gridCol w:w="9994"/>
      </w:tblGrid>
      <w:tr>
        <w:trPr>
          <w:trHeight w:hRule="atLeast"/>
        </w:trPr>
        <w:tc>
          <w:tcPr>
            <w:tcW w:type="dxa" w:w="9994"/>
            <w:shd w:fill="F5F8FB"/>
            <w:tcMar>
              <w:top w:w="110" w:type="dxa"/>
              <w:start w:w="160" w:type="dxa"/>
              <w:bottom w:w="110" w:type="dxa"/>
              <w:end w:w="160" w:type="dxa"/>
            </w:tcMar>
            <w:vAlign w:val="center"/>
          </w:tcPr>
          <w:p>
            <w:r>
              <w:rPr>
                <w:b/>
              </w:rPr>
              <w:t xml:space="preserve">Academic fit — </w:t>
            </w:r>
            <w:r>
              <w:t>It connects systems security, ML decision-making, empirical methodology and trustworthy automation—areas relevant to strong German CS/security programs.</w:t>
            </w:r>
          </w:p>
        </w:tc>
      </w:tr>
    </w:tbl>
    <w:tbl>
      <w:tblPr>
        <w:tblW w:type="auto" w:w="0"/>
        <w:jc w:val="center"/>
        <w:tblLook w:firstColumn="1" w:firstRow="1" w:lastColumn="0" w:lastRow="0" w:noHBand="0" w:noVBand="1" w:val="04A0"/>
      </w:tblPr>
      <w:tblGrid>
        <w:gridCol w:w="9994"/>
      </w:tblGrid>
      <w:tr>
        <w:trPr>
          <w:trHeight w:hRule="atLeast"/>
        </w:trPr>
        <w:tc>
          <w:tcPr>
            <w:tcW w:type="dxa" w:w="9994"/>
            <w:shd w:fill="F5F8FB"/>
            <w:tcMar>
              <w:top w:w="110" w:type="dxa"/>
              <w:start w:w="160" w:type="dxa"/>
              <w:bottom w:w="110" w:type="dxa"/>
              <w:end w:w="160" w:type="dxa"/>
            </w:tcMar>
            <w:vAlign w:val="center"/>
          </w:tcPr>
          <w:p>
            <w:r>
              <w:rPr>
                <w:b/>
              </w:rPr>
              <w:t xml:space="preserve">MNC fit — </w:t>
            </w:r>
            <w:r>
              <w:t>It maps to practical security operations constraints: query budgets, analyst time, telemetry volume, evidence quality and investigation prioritization.</w:t>
            </w:r>
          </w:p>
        </w:tc>
      </w:tr>
    </w:tbl>
    <w:p>
      <w:pPr>
        <w:pStyle w:val="Heading1"/>
      </w:pPr>
      <w:r>
        <w:t>19. Final Decision</w:t>
      </w:r>
    </w:p>
    <w:tbl>
      <w:tblPr>
        <w:tblW w:type="auto" w:w="0"/>
        <w:jc w:val="center"/>
        <w:tblLook w:firstColumn="1" w:firstRow="1" w:lastColumn="0" w:lastRow="0" w:noHBand="0" w:noVBand="1" w:val="04A0"/>
      </w:tblPr>
      <w:tblGrid>
        <w:gridCol w:w="9994"/>
      </w:tblGrid>
      <w:tr>
        <w:trPr>
          <w:trHeight w:hRule="atLeast"/>
        </w:trPr>
        <w:tc>
          <w:tcPr>
            <w:tcW w:type="dxa" w:w="9994"/>
            <w:shd w:fill="E2F0D9"/>
            <w:tcMar>
              <w:top w:w="180" w:type="dxa"/>
              <w:start w:w="200" w:type="dxa"/>
              <w:bottom w:w="180" w:type="dxa"/>
              <w:end w:w="200" w:type="dxa"/>
            </w:tcMar>
            <w:vAlign w:val="center"/>
          </w:tcPr>
          <w:p>
            <w:r>
              <w:rPr>
                <w:b/>
                <w:color w:val="17365D"/>
                <w:sz w:val="26"/>
              </w:rPr>
              <w:t>PROCEED WITH HADES AS THE WORKING FLAGSHIP.</w:t>
              <w:br/>
            </w:r>
            <w:r>
              <w:t>Do not claim novelty yet. First pass the small-simulator gate, then the CDB mechanism gate, then the main robustness experiments. If HADES fails any load-bearing gate, downgrade it or abandon it rather than forcing a publication narrative.</w:t>
            </w:r>
          </w:p>
          <w:p>
            <w:pPr>
              <w:spacing w:before="40" w:after="0"/>
            </w:pPr>
            <w:r>
              <w:rPr>
                <w:i/>
                <w:sz w:val="17"/>
              </w:rPr>
              <w:t>Research identity: Secure, budgeted cyber investigation under uncertain and adversarial evidence.</w:t>
            </w:r>
          </w:p>
        </w:tc>
      </w:tr>
    </w:tbl>
    <w:p>
      <w:pPr>
        <w:pStyle w:val="Heading1"/>
        <w:pageBreakBefore/>
      </w:pPr>
      <w:r>
        <w:t>References and Verification Links</w:t>
      </w:r>
    </w:p>
    <w:p>
      <w:pPr/>
      <w:r>
        <w:rPr>
          <w:b/>
        </w:rPr>
        <w:t xml:space="preserve">R1. </w:t>
      </w:r>
      <w:r>
        <w:t xml:space="preserve">Chona, A.; Kozlov, I.; Kumar, A. “Cyber Defense Benchmark: Agentic Threat Hunting Evaluation for LLMs in SecOps.” arXiv:2604.19533, 2026. </w:t>
      </w:r>
      <w:hyperlink r:id="rId11">
        <w:r>
          <w:rPr>
            <w:color w:val="0563C1"/>
            <w:u w:val="single"/>
          </w:rPr>
          <w:t>Link</w:t>
        </w:r>
      </w:hyperlink>
    </w:p>
    <w:p>
      <w:pPr/>
      <w:r>
        <w:rPr>
          <w:b/>
        </w:rPr>
        <w:t xml:space="preserve">R2. </w:t>
      </w:r>
      <w:r>
        <w:t xml:space="preserve">Barnes, J. “OpenSec: Measuring Incident Response Agent Calibration Under Adversarial Evidence.” arXiv:2601.21083, 2026. </w:t>
      </w:r>
      <w:hyperlink r:id="rId12">
        <w:r>
          <w:rPr>
            <w:color w:val="0563C1"/>
            <w:u w:val="single"/>
          </w:rPr>
          <w:t>Link</w:t>
        </w:r>
      </w:hyperlink>
    </w:p>
    <w:p>
      <w:pPr/>
      <w:r>
        <w:rPr>
          <w:b/>
        </w:rPr>
        <w:t xml:space="preserve">R3. </w:t>
      </w:r>
      <w:r>
        <w:t xml:space="preserve">Begimher, D.; Leo, C.; Huang, J.; Gaw, P.; Zheng, B. “SIR-Bench: Evaluating Investigation Depth in Security Incident Response Agents.” arXiv:2604.12040, 2026. </w:t>
      </w:r>
      <w:hyperlink r:id="rId13">
        <w:r>
          <w:rPr>
            <w:color w:val="0563C1"/>
            <w:u w:val="single"/>
          </w:rPr>
          <w:t>Link</w:t>
        </w:r>
      </w:hyperlink>
    </w:p>
    <w:p>
      <w:pPr/>
      <w:r>
        <w:rPr>
          <w:b/>
        </w:rPr>
        <w:t xml:space="preserve">R4. </w:t>
      </w:r>
      <w:r>
        <w:t xml:space="preserve">Wang, L. et al. “SecRespond: Benchmarking AI Agents for Real-World Post-Compromise Incident Response.” arXiv:2607.26791, 2026. </w:t>
      </w:r>
      <w:hyperlink r:id="rId14">
        <w:r>
          <w:rPr>
            <w:color w:val="0563C1"/>
            <w:u w:val="single"/>
          </w:rPr>
          <w:t>Link</w:t>
        </w:r>
      </w:hyperlink>
    </w:p>
    <w:p>
      <w:pPr/>
      <w:r>
        <w:rPr>
          <w:b/>
        </w:rPr>
        <w:t xml:space="preserve">R5. </w:t>
      </w:r>
      <w:r>
        <w:t xml:space="preserve">Wu, M.; Yang, H.; Ben-Porat, O.; Ziser, Y. “When Knowledge Is Not Free: Cost-Aware Evidence Selection in Retrieval-Augmented Generation.” arXiv:2606.02245, 2026. </w:t>
      </w:r>
      <w:hyperlink r:id="rId15">
        <w:r>
          <w:rPr>
            <w:color w:val="0563C1"/>
            <w:u w:val="single"/>
          </w:rPr>
          <w:t>Link</w:t>
        </w:r>
      </w:hyperlink>
    </w:p>
    <w:p>
      <w:pPr/>
      <w:r>
        <w:rPr>
          <w:b/>
        </w:rPr>
        <w:t xml:space="preserve">R6. </w:t>
      </w:r>
      <w:r>
        <w:t xml:space="preserve">Costa, M. et al. “Securing AI Agents with Information-Flow Control.” arXiv:2505.23643, 2025. </w:t>
      </w:r>
      <w:hyperlink r:id="rId16">
        <w:r>
          <w:rPr>
            <w:color w:val="0563C1"/>
            <w:u w:val="single"/>
          </w:rPr>
          <w:t>Link</w:t>
        </w:r>
      </w:hyperlink>
    </w:p>
    <w:p>
      <w:pPr/>
      <w:r>
        <w:rPr>
          <w:b/>
        </w:rPr>
        <w:t xml:space="preserve">R7. </w:t>
      </w:r>
      <w:r>
        <w:t xml:space="preserve">Zhang, H.; Wu, W. “Do LLMs Know When Evidence is Insufficient? An Evidence Sufficiency Benchmark for Answer-Abstention Calibration in Retrieval-Augmented Generation.” Computers, Materials &amp; Continua, 89(1), 2026. </w:t>
      </w:r>
      <w:hyperlink r:id="rId17">
        <w:r>
          <w:rPr>
            <w:color w:val="0563C1"/>
            <w:u w:val="single"/>
          </w:rPr>
          <w:t>Link</w:t>
        </w:r>
      </w:hyperlink>
    </w:p>
    <w:p>
      <w:pPr/>
      <w:r>
        <w:rPr>
          <w:b/>
        </w:rPr>
        <w:t xml:space="preserve">R8. </w:t>
      </w:r>
      <w:r>
        <w:t xml:space="preserve">Liu, X. et al. “DiagChain: A Diagnostic Benchmark for Evaluating LLM Agents on Evidence-Grounded Attack Chain Reconstruction.” arXiv:2608.03591, 2026. </w:t>
      </w:r>
      <w:hyperlink r:id="rId18">
        <w:r>
          <w:rPr>
            <w:color w:val="0563C1"/>
            <w:u w:val="single"/>
          </w:rPr>
          <w:t>Link</w:t>
        </w:r>
      </w:hyperlink>
    </w:p>
    <w:p>
      <w:pPr/>
      <w:r>
        <w:rPr>
          <w:b/>
        </w:rPr>
        <w:t xml:space="preserve">R9. </w:t>
      </w:r>
      <w:r>
        <w:t xml:space="preserve">Microsoft. “ExCyTIn-Bench: Evaluating LLM agents on Cyber Threat Investigation.” SecRL repository / ICML 2026. </w:t>
      </w:r>
      <w:hyperlink r:id="rId19">
        <w:r>
          <w:rPr>
            <w:color w:val="0563C1"/>
            <w:u w:val="single"/>
          </w:rPr>
          <w:t>Link</w:t>
        </w:r>
      </w:hyperlink>
    </w:p>
    <w:p>
      <w:pPr/>
      <w:r>
        <w:rPr>
          <w:b/>
        </w:rPr>
        <w:t xml:space="preserve">R10. </w:t>
      </w:r>
      <w:r>
        <w:t xml:space="preserve">Microsoft Research. “Securing AI Agents with Information-Flow Control” project materials / Fides. </w:t>
      </w:r>
      <w:hyperlink r:id="rId20">
        <w:r>
          <w:rPr>
            <w:color w:val="0563C1"/>
            <w:u w:val="single"/>
          </w:rPr>
          <w:t>Link</w:t>
        </w:r>
      </w:hyperlink>
    </w:p>
    <w:p>
      <w:pPr/>
      <w:r>
        <w:rPr>
          <w:b/>
        </w:rPr>
        <w:t xml:space="preserve">R11. </w:t>
      </w:r>
      <w:r>
        <w:t xml:space="preserve">IBM. BloodHound-Kube / Kubernetes attack-path analysis materials, 2026. </w:t>
      </w:r>
      <w:hyperlink r:id="rId21">
        <w:r>
          <w:rPr>
            <w:color w:val="0563C1"/>
            <w:u w:val="single"/>
          </w:rPr>
          <w:t>Link</w:t>
        </w:r>
      </w:hyperlink>
    </w:p>
    <w:p>
      <w:pPr>
        <w:pStyle w:val="Heading1"/>
      </w:pPr>
      <w:r>
        <w:t>Source and Evidence Notes</w:t>
      </w:r>
    </w:p>
    <w:p>
      <w:r>
        <w:t>This document synthesizes the user-provided cybersecurity roadmap, the two supplied idea-comparison documents, and the subsequent 2026 literature audits performed in this conversation. The roadmap provides the skills and project trajectory; the HADES formulation reflects the iterative novelty-audit process. Current-paper claims should be re-verified immediately before submission because the 2026 literature in agentic cybersecurity is changing rapidly.</w:t>
      </w:r>
    </w:p>
    <w:p>
      <w:r>
        <w:t>Important correction captured here: the name “TrustOps” is ambiguous. arXiv:2412.03201 concerns software supply-chain attestation/DevOps trust; the 2026 paper “Can We Trust Cyber Defence Agents? TrustOps for Evidence Grounded Security Operations” is a separate work. The paper should cite the exact 2026 source when discussing evidence-grounded cyber-agent trust.</w:t>
      </w:r>
    </w:p>
    <w:p>
      <w:pPr>
        <w:pStyle w:val="Small"/>
        <w:jc w:val="center"/>
      </w:pPr>
      <w:r>
        <w:t>End of working research proposal — HADES v1.0</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 xml:space="preserve">Aakash G.S.  •  Working research document  •  04 September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7"/>
      </w:rPr>
      <w:t>HADES — Research Proposal &amp;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Aptos" w:hAnsi="Aptos"/>
      <w:b/>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666666"/>
      <w:sz w:val="17"/>
    </w:rPr>
  </w:style>
  <w:style w:type="paragraph" w:customStyle="1" w:styleId="Callout">
    <w:name w:val="Callout"/>
    <w:pPr>
      <w:spacing w:after="60"/>
    </w:pPr>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4.19533" TargetMode="External"/><Relationship Id="rId12" Type="http://schemas.openxmlformats.org/officeDocument/2006/relationships/hyperlink" Target="https://arxiv.org/abs/2601.21083" TargetMode="External"/><Relationship Id="rId13" Type="http://schemas.openxmlformats.org/officeDocument/2006/relationships/hyperlink" Target="https://arxiv.org/abs/2604.12040" TargetMode="External"/><Relationship Id="rId14" Type="http://schemas.openxmlformats.org/officeDocument/2006/relationships/hyperlink" Target="https://arxiv.org/abs/2607.26791" TargetMode="External"/><Relationship Id="rId15" Type="http://schemas.openxmlformats.org/officeDocument/2006/relationships/hyperlink" Target="https://arxiv.org/abs/2606.02245" TargetMode="External"/><Relationship Id="rId16" Type="http://schemas.openxmlformats.org/officeDocument/2006/relationships/hyperlink" Target="https://arxiv.org/abs/2505.23643" TargetMode="External"/><Relationship Id="rId17" Type="http://schemas.openxmlformats.org/officeDocument/2006/relationships/hyperlink" Target="https://www.techscience.com/cmc/v89n1/68467/html" TargetMode="External"/><Relationship Id="rId18" Type="http://schemas.openxmlformats.org/officeDocument/2006/relationships/hyperlink" Target="https://arxiv.org/abs/2608.03591" TargetMode="External"/><Relationship Id="rId19" Type="http://schemas.openxmlformats.org/officeDocument/2006/relationships/hyperlink" Target="https://github.com/microsoft/SecRL" TargetMode="External"/><Relationship Id="rId20" Type="http://schemas.openxmlformats.org/officeDocument/2006/relationships/hyperlink" Target="https://github.com/microsoft/fides" TargetMode="External"/><Relationship Id="rId21" Type="http://schemas.openxmlformats.org/officeDocument/2006/relationships/hyperlink" Target="https://www.ibm.com/think/x-force/bloodhound-ku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HADES: Budgeted Evidence Acquisition for Cyber Threat Hunting Under Adversarial Telemetry</dc:title>
  <dc:subject>Research proposal, novelty analysis, experimental design, and development plan</dc:subject>
  <dc:creator>Aakash G.S.</dc:creator>
  <cp:keywords>HADES, cyber threat hunting, evidence acquisition, adversarial telemetry, cybersecurity, research</cp:keywords>
  <dc:description>generated by python-docx</dc:description>
  <cp:lastModifiedBy/>
  <cp:revision>1</cp:revision>
  <dcterms:created xsi:type="dcterms:W3CDTF">2013-12-23T23:15:00Z</dcterms:created>
  <dcterms:modified xsi:type="dcterms:W3CDTF">2013-12-23T23:15:00Z</dcterms:modified>
  <cp:category/>
</cp:coreProperties>
</file>