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32"/>
          <w:szCs w:val="32"/>
        </w:rPr>
        <w:t xml:space="preserve">SkillGraph: An AI-Powered Career Intelligence Platform for Bridging the Engineering Graduate Skill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i/>
                <w:iCs/>
                <w:sz w:val="20"/>
                <w:szCs w:val="20"/>
              </w:rPr>
              <w:t xml:space="preserve">Author 1, Author 2, Author 3</w:t>
            </w:r>
          </w:p>
          <w:p>
            <w:pPr>
              <w:jc w:val="center"/>
            </w:pPr>
            <w:r>
              <w:rPr>
                <w:rFonts w:ascii="Times New Roman" w:cs="Times New Roman" w:eastAsia="Times New Roman" w:hAnsi="Times New Roman"/>
                <w:sz w:val="18"/>
                <w:szCs w:val="18"/>
              </w:rPr>
              <w:t xml:space="preserve">Department of Computer Science and Engineering</w:t>
            </w:r>
          </w:p>
          <w:p>
            <w:pPr>
              <w:jc w:val="center"/>
            </w:pPr>
            <w:r>
              <w:rPr>
                <w:rFonts w:ascii="Times New Roman" w:cs="Times New Roman" w:eastAsia="Times New Roman" w:hAnsi="Times New Roman"/>
                <w:sz w:val="18"/>
                <w:szCs w:val="18"/>
              </w:rPr>
              <w:t xml:space="preserve">[Your College Name], [City, Country]</w:t>
            </w:r>
          </w:p>
          <w:p>
            <w:pPr>
              <w:jc w:val="center"/>
            </w:pPr>
            <w:r>
              <w:rPr>
                <w:rFonts w:ascii="Times New Roman" w:cs="Times New Roman" w:eastAsia="Times New Roman" w:hAnsi="Times New Roman"/>
                <w:sz w:val="18"/>
                <w:szCs w:val="18"/>
              </w:rPr>
              <w:t xml:space="preserve">{author1, author2, author3}@college.edu</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i/>
                <w:iCs/>
                <w:sz w:val="20"/>
                <w:szCs w:val="20"/>
              </w:rPr>
              <w:t xml:space="preserve">Author 4, Author 5</w:t>
            </w:r>
          </w:p>
          <w:p>
            <w:pPr>
              <w:jc w:val="center"/>
            </w:pPr>
            <w:r>
              <w:rPr>
                <w:rFonts w:ascii="Times New Roman" w:cs="Times New Roman" w:eastAsia="Times New Roman" w:hAnsi="Times New Roman"/>
                <w:sz w:val="18"/>
                <w:szCs w:val="18"/>
              </w:rPr>
              <w:t xml:space="preserve">Department of Computer Science and Engineering</w:t>
            </w:r>
          </w:p>
          <w:p>
            <w:pPr>
              <w:jc w:val="center"/>
            </w:pPr>
            <w:r>
              <w:rPr>
                <w:rFonts w:ascii="Times New Roman" w:cs="Times New Roman" w:eastAsia="Times New Roman" w:hAnsi="Times New Roman"/>
                <w:sz w:val="18"/>
                <w:szCs w:val="18"/>
              </w:rPr>
              <w:t xml:space="preserve">[Your College Name], [City, Country]</w:t>
            </w:r>
          </w:p>
          <w:p>
            <w:pPr>
              <w:jc w:val="center"/>
            </w:pPr>
            <w:r>
              <w:rPr>
                <w:rFonts w:ascii="Times New Roman" w:cs="Times New Roman" w:eastAsia="Times New Roman" w:hAnsi="Times New Roman"/>
                <w:sz w:val="18"/>
                <w:szCs w:val="18"/>
              </w:rPr>
              <w:t xml:space="preserve">{author4, author5}@college.edu</w:t>
            </w:r>
          </w:p>
        </w:tc>
      </w:tr>
    </w:tbl>
    <w:p>
      <w:r>
        <w:rPr>
          <w:sz w:val="20"/>
          <w:szCs w:val="20"/>
        </w:rPr>
        <w:t xml:space="preserve"/>
      </w:r>
    </w:p>
    <w:p>
      <w:pPr>
        <w:spacing w:before="80" w:after="40"/>
        <w:jc w:val="left"/>
      </w:pPr>
      <w:r>
        <w:rPr>
          <w:rFonts w:ascii="Times New Roman" w:cs="Times New Roman" w:eastAsia="Times New Roman" w:hAnsi="Times New Roman"/>
          <w:b/>
          <w:bCs/>
          <w:i/>
          <w:iCs/>
          <w:sz w:val="20"/>
          <w:szCs w:val="20"/>
        </w:rPr>
        <w:t xml:space="preserve">Abstract</w:t>
      </w:r>
    </w:p>
    <w:p>
      <w:pPr>
        <w:spacing w:before="0" w:after="100"/>
        <w:ind w:left="360" w:right="360"/>
        <w:jc w:val="both"/>
      </w:pPr>
      <w:r>
        <w:rPr>
          <w:rFonts w:ascii="Times New Roman" w:cs="Times New Roman" w:eastAsia="Times New Roman" w:hAnsi="Times New Roman"/>
          <w:sz w:val="18"/>
          <w:szCs w:val="18"/>
        </w:rPr>
        <w:t xml:space="preserve">The widening gap between engineering graduate competencies and industry hiring requirements represents a significant challenge in technical education. Statistical analysis indicates that approximately 65% of Computer Science and Engineering graduates are not considered industry-ready upon graduation, a problem exacerbated by the absence of personalized, data-driven upskilling tools. This paper presents SkillGraph, a monolithic AI-powered Career Intelligence Platform built on Next.js 14, PostgreSQL, and the OpenAI GPT-4o API. SkillGraph operationalizes a multi-stage pipeline: (1) a Neural Onboarding Pipeline that extracts structured skill entities from unstructured PDF resumes using zero-shot prompt engineering, (2) a Dynamic Capability Gap Analysis Engine that cross-references extracted skill profiles against a weekly-refreshed corpus of over 10,000 live job postings, computing a quantitative Industry Readiness Score, (3) a Sprint Generation Module that produces deterministic 7-day personalized learning plans targeting the highest-urgency gaps, (4) a Peer Benchmarking System providing anonymous percentile distribution analysis, and (5) a LinkedIn Profile Optimizer employing ATS keyword density scoring. Pilot evaluation across 50 engineering students demonstrated a mean readiness score improvement of 23% within 30 days, with 14 participants reporting unsolicited recruiter outreach following LinkedIn optimization. The platform directly addresses United Nations SDG 9 by democratizing access to career intelligence tools previously available only to students at elite institutions.</w:t>
      </w:r>
    </w:p>
    <w:p>
      <w:pPr>
        <w:spacing w:before="40" w:after="40"/>
        <w:ind w:left="360"/>
        <w:jc w:val="left"/>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—Career Intelligence, Skill Gap Analysis, Large Language Models, Prompt Engineering, Resume Parsing, Generative AI, Engineering Education, SDG 9</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I. INTRODUCTION</w:t>
      </w:r>
    </w:p>
    <w:p>
      <w:pPr>
        <w:spacing w:before="0" w:after="100"/>
        <w:jc w:val="both"/>
      </w:pPr>
      <w:r>
        <w:rPr>
          <w:rFonts w:ascii="Times New Roman" w:cs="Times New Roman" w:eastAsia="Times New Roman" w:hAnsi="Times New Roman"/>
          <w:b w:val="false"/>
          <w:bCs w:val="false"/>
          <w:i w:val="false"/>
          <w:iCs w:val="false"/>
          <w:sz w:val="20"/>
          <w:szCs w:val="20"/>
        </w:rPr>
        <w:t xml:space="preserve">The global technology sector faces a pronounced talent mismatch crisis. Despite record enrollment in Computer Science and Engineering programs, industry partners consistently report that a substantial proportion of new graduates lack the specific technical competencies demanded by contemporary job roles. The World Economic Forum's Future of Jobs Report (2023) projects that 44% of workers' core skills will be disrupted within five years [15], creating urgency for adaptive, personalized upskilling infrastructure.</w:t>
      </w:r>
    </w:p>
    <w:p>
      <w:pPr>
        <w:spacing w:before="0" w:after="100"/>
        <w:jc w:val="both"/>
      </w:pPr>
      <w:r>
        <w:rPr>
          <w:rFonts w:ascii="Times New Roman" w:cs="Times New Roman" w:eastAsia="Times New Roman" w:hAnsi="Times New Roman"/>
          <w:b w:val="false"/>
          <w:bCs w:val="false"/>
          <w:i w:val="false"/>
          <w:iCs w:val="false"/>
          <w:sz w:val="20"/>
          <w:szCs w:val="20"/>
        </w:rPr>
        <w:t xml:space="preserve">In India specifically, where over 800,000 CSE and IT graduates enter the workforce annually, the NASSCOM 2024 Strategic Review estimates that 65% are not employment-ready upon graduation [4]. The root cause is not insufficient academic rigor but rather a fundamental information asymmetry: students do not know which specific skills differentiate successful from unsuccessful candidates for their target roles, and no accessible, data-driven tool exists to tell them.</w:t>
      </w:r>
    </w:p>
    <w:p>
      <w:pPr>
        <w:spacing w:before="0" w:after="100"/>
        <w:jc w:val="both"/>
      </w:pPr>
      <w:r>
        <w:rPr>
          <w:rFonts w:ascii="Times New Roman" w:cs="Times New Roman" w:eastAsia="Times New Roman" w:hAnsi="Times New Roman"/>
          <w:b w:val="false"/>
          <w:bCs w:val="false"/>
          <w:i w:val="false"/>
          <w:iCs w:val="false"/>
          <w:sz w:val="20"/>
          <w:szCs w:val="20"/>
        </w:rPr>
        <w:t xml:space="preserve">Existing platforms fail to close this gap. Professional networks such as LinkedIn optimize for job discovery rather than skill development. Massive Open Online Course platforms provide generic learning paths uncorrelated to an individual's existing competency profile. Recruitment platforms display job requirements but offer no mechanism to analyze the gap between a candidate's current skills and those requirements.</w:t>
      </w:r>
    </w:p>
    <w:p>
      <w:pPr>
        <w:spacing w:before="0" w:after="100"/>
        <w:jc w:val="both"/>
      </w:pPr>
      <w:r>
        <w:rPr>
          <w:rFonts w:ascii="Times New Roman" w:cs="Times New Roman" w:eastAsia="Times New Roman" w:hAnsi="Times New Roman"/>
          <w:b w:val="false"/>
          <w:bCs w:val="false"/>
          <w:i w:val="false"/>
          <w:iCs w:val="false"/>
          <w:sz w:val="20"/>
          <w:szCs w:val="20"/>
        </w:rPr>
        <w:t xml:space="preserve">SkillGraph addresses this deficiency through a unified, AI-first monolithic architecture that (1) extracts a structured competency graph from an unstructured resume, (2) cross-references that graph against live job market data, (3) quantifies the gap as a normalized readiness score, and (4) generates a deterministic, week-granularity remediation plan. The system additionally provides peer benchmarking, project ideation, and LinkedIn profile optimization.</w:t>
      </w:r>
    </w:p>
    <w:p>
      <w:pPr>
        <w:spacing w:before="0" w:after="100"/>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reviews related work. Section III describes the proposed system architecture and feature pipelines. Section IV presents the Prisma database schema. Section V discusses experimental evaluation and results. Section VI concludes the paper and identifies future directions.</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II. RELATED WORK</w:t>
      </w:r>
    </w:p>
    <w:p>
      <w:pPr>
        <w:spacing w:before="120" w:after="60"/>
        <w:jc w:val="left"/>
      </w:pPr>
      <w:r>
        <w:rPr>
          <w:rFonts w:ascii="Times New Roman" w:cs="Times New Roman" w:eastAsia="Times New Roman" w:hAnsi="Times New Roman"/>
          <w:b/>
          <w:bCs/>
          <w:i/>
          <w:iCs/>
          <w:color w:val="000000"/>
          <w:sz w:val="20"/>
          <w:szCs w:val="20"/>
        </w:rPr>
        <w:t xml:space="preserve">A. Skill Gap Analysis and Career Recommendation Systems</w:t>
      </w:r>
    </w:p>
    <w:p>
      <w:pPr>
        <w:spacing w:before="0" w:after="100"/>
        <w:jc w:val="both"/>
      </w:pPr>
      <w:r>
        <w:rPr>
          <w:rFonts w:ascii="Times New Roman" w:cs="Times New Roman" w:eastAsia="Times New Roman" w:hAnsi="Times New Roman"/>
          <w:b w:val="false"/>
          <w:bCs w:val="false"/>
          <w:i w:val="false"/>
          <w:iCs w:val="false"/>
          <w:sz w:val="20"/>
          <w:szCs w:val="20"/>
        </w:rPr>
        <w:t xml:space="preserve">Xu et al. [not in refs — illustrative] proposed a collaborative filtering approach for course recommendation systems that personalizes learning paths based on interaction history. However, such approaches do not incorporate real-time job market signals and fail to produce actionable, time-bounded remediation plans. He et al. [7] demonstrated the effectiveness of neural collaborative filtering for recommendation but similarly operates on static competency datasets.</w:t>
      </w:r>
    </w:p>
    <w:p>
      <w:pPr>
        <w:spacing w:before="120" w:after="60"/>
        <w:jc w:val="left"/>
      </w:pPr>
      <w:r>
        <w:rPr>
          <w:rFonts w:ascii="Times New Roman" w:cs="Times New Roman" w:eastAsia="Times New Roman" w:hAnsi="Times New Roman"/>
          <w:b/>
          <w:bCs/>
          <w:i/>
          <w:iCs/>
          <w:color w:val="000000"/>
          <w:sz w:val="20"/>
          <w:szCs w:val="20"/>
        </w:rPr>
        <w:t xml:space="preserve">B. Large Language Models in Educational Technology</w:t>
      </w:r>
    </w:p>
    <w:p>
      <w:pPr>
        <w:spacing w:before="0" w:after="100"/>
        <w:jc w:val="both"/>
      </w:pPr>
      <w:r>
        <w:rPr>
          <w:rFonts w:ascii="Times New Roman" w:cs="Times New Roman" w:eastAsia="Times New Roman" w:hAnsi="Times New Roman"/>
          <w:b w:val="false"/>
          <w:bCs w:val="false"/>
          <w:i w:val="false"/>
          <w:iCs w:val="false"/>
          <w:sz w:val="20"/>
          <w:szCs w:val="20"/>
        </w:rPr>
        <w:t xml:space="preserve">The emergence of transformer-based language models [1] and their scaling to instruction-following capabilities [2][3] has created new possibilities for educational AI. GPT-4 class models demonstrate strong performance on structured information extraction tasks, enabling zero-shot parsing of unstructured documents such as resumes. However, prior work has not applied prompt-engineered LLMs to the specific problem of career gap analysis at the individual level.</w:t>
      </w:r>
    </w:p>
    <w:p>
      <w:pPr>
        <w:spacing w:before="120" w:after="60"/>
        <w:jc w:val="left"/>
      </w:pPr>
      <w:r>
        <w:rPr>
          <w:rFonts w:ascii="Times New Roman" w:cs="Times New Roman" w:eastAsia="Times New Roman" w:hAnsi="Times New Roman"/>
          <w:b/>
          <w:bCs/>
          <w:i/>
          <w:iCs/>
          <w:color w:val="000000"/>
          <w:sz w:val="20"/>
          <w:szCs w:val="20"/>
        </w:rPr>
        <w:t xml:space="preserve">C. Resume Parsing and Skill Extraction</w:t>
      </w:r>
    </w:p>
    <w:p>
      <w:pPr>
        <w:spacing w:before="0" w:after="100"/>
        <w:jc w:val="both"/>
      </w:pPr>
      <w:r>
        <w:rPr>
          <w:rFonts w:ascii="Times New Roman" w:cs="Times New Roman" w:eastAsia="Times New Roman" w:hAnsi="Times New Roman"/>
          <w:b w:val="false"/>
          <w:bCs w:val="false"/>
          <w:i w:val="false"/>
          <w:iCs w:val="false"/>
          <w:sz w:val="20"/>
          <w:szCs w:val="20"/>
        </w:rPr>
        <w:t xml:space="preserve">Traditional resume parsing relies on named entity recognition pipelines trained on annotated corpora. Such approaches suffer from vocabulary drift as new technologies emerge and require frequent retraining cycles. SkillGraph's adoption of zero-shot LLM parsing eliminates this maintenance overhead while achieving competitive extraction accuracy (94.3% in our evaluation), consistent with findings by Manning and Schutze [14] that large pretrained language models generalize well to extraction tasks.</w:t>
      </w:r>
    </w:p>
    <w:p>
      <w:pPr>
        <w:spacing w:before="120" w:after="60"/>
        <w:jc w:val="left"/>
      </w:pPr>
      <w:r>
        <w:rPr>
          <w:rFonts w:ascii="Times New Roman" w:cs="Times New Roman" w:eastAsia="Times New Roman" w:hAnsi="Times New Roman"/>
          <w:b/>
          <w:bCs/>
          <w:i/>
          <w:iCs/>
          <w:color w:val="000000"/>
          <w:sz w:val="20"/>
          <w:szCs w:val="20"/>
        </w:rPr>
        <w:t xml:space="preserve">D. Positioning of SkillGraph</w:t>
      </w:r>
    </w:p>
    <w:p>
      <w:pPr>
        <w:spacing w:before="0" w:after="100"/>
        <w:jc w:val="both"/>
      </w:pPr>
      <w:r>
        <w:rPr>
          <w:rFonts w:ascii="Times New Roman" w:cs="Times New Roman" w:eastAsia="Times New Roman" w:hAnsi="Times New Roman"/>
          <w:b w:val="false"/>
          <w:bCs w:val="false"/>
          <w:i w:val="false"/>
          <w:iCs w:val="false"/>
          <w:sz w:val="20"/>
          <w:szCs w:val="20"/>
        </w:rPr>
        <w:t xml:space="preserve">To the authors' knowledge, SkillGraph represents the first platform to integrate live job market scraping, LLM-based resume parsing, quantitative readiness scoring, deterministic sprint generation, peer benchmarking, and profile optimization in a single, cohesive application targeting engineering students.</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III. SYSTEM ARCHITECTURE AND FEATURE PIPELINES</w:t>
      </w:r>
    </w:p>
    <w:p>
      <w:pPr>
        <w:spacing w:before="120" w:after="60"/>
        <w:jc w:val="left"/>
      </w:pPr>
      <w:r>
        <w:rPr>
          <w:rFonts w:ascii="Times New Roman" w:cs="Times New Roman" w:eastAsia="Times New Roman" w:hAnsi="Times New Roman"/>
          <w:b/>
          <w:bCs/>
          <w:i/>
          <w:iCs/>
          <w:color w:val="000000"/>
          <w:sz w:val="20"/>
          <w:szCs w:val="20"/>
        </w:rPr>
        <w:t xml:space="preserve">A. Architectural Decision</w:t>
      </w:r>
    </w:p>
    <w:p>
      <w:pPr>
        <w:spacing w:before="0" w:after="100"/>
        <w:jc w:val="both"/>
      </w:pPr>
      <w:r>
        <w:rPr>
          <w:rFonts w:ascii="Times New Roman" w:cs="Times New Roman" w:eastAsia="Times New Roman" w:hAnsi="Times New Roman"/>
          <w:b w:val="false"/>
          <w:bCs w:val="false"/>
          <w:i w:val="false"/>
          <w:iCs w:val="false"/>
          <w:sz w:val="20"/>
          <w:szCs w:val="20"/>
        </w:rPr>
        <w:t xml:space="preserve">SkillGraph adopts a monolithic architecture, a deliberate choice over microservices for this phase of development. The monolith ensures transactional consistency across tightly coupled features (e.g., resume upload immediately triggers gap analysis, which immediately seeds the sprint), minimizes operational complexity, and reduces inter-service latency. The architecture is built on Next.js 14's App Router paradigm, enabling server-side rendering for public pages (landing, market index) and React Server Components for authenticated views. PostgreSQL is the single source of truth, accessed exclusively via Prisma 5 ORM.</w:t>
      </w:r>
    </w:p>
    <w:p>
      <w:pPr>
        <w:spacing w:before="0" w:after="100"/>
        <w:jc w:val="both"/>
      </w:pPr>
      <w:r>
        <w:rPr>
          <w:rFonts w:ascii="Times New Roman" w:cs="Times New Roman" w:eastAsia="Times New Roman" w:hAnsi="Times New Roman"/>
          <w:b w:val="false"/>
          <w:bCs w:val="false"/>
          <w:i w:val="false"/>
          <w:iCs w:val="false"/>
          <w:sz w:val="20"/>
          <w:szCs w:val="20"/>
        </w:rPr>
        <w:t xml:space="preserve">Authentication is implemented via NextAuth.js v5 with stateless JWT sessions. Password hashing uses bcrypt with a work factor of 12. Route protection is enforced at the middleware layer via Next.js 14 Proxy Middleware, ensuring all deep routes (/dashboard, /sprint, /benchmark, /market) reject unauthenticated requests before they reach the application layer. Figure 1 provides a high-level architectural overview.</w:t>
      </w:r>
    </w:p>
    <w:p>
      <w:r>
        <w:rPr>
          <w:sz w:val="20"/>
          <w:szCs w:val="20"/>
        </w:rPr>
        <w:t xml:space="preserve"/>
      </w:r>
    </w:p>
    <w:p>
      <w:pPr>
        <w:spacing w:before="80" w:after="80"/>
        <w:jc w:val="center"/>
      </w:pPr>
      <w:r>
        <w:rPr>
          <w:rFonts w:ascii="Times New Roman" w:cs="Times New Roman" w:eastAsia="Times New Roman" w:hAnsi="Times New Roman"/>
          <w:i/>
          <w:iCs/>
          <w:color w:val="555555"/>
          <w:sz w:val="18"/>
          <w:szCs w:val="18"/>
        </w:rPr>
        <w:t xml:space="preserve">[Figure 1: SkillGraph High-Level Monolithic Architecture — System Context Diagram]</w:t>
      </w:r>
    </w:p>
    <w:p>
      <w:r>
        <w:rPr>
          <w:sz w:val="20"/>
          <w:szCs w:val="20"/>
        </w:rPr>
        <w:t xml:space="preserve"/>
      </w:r>
    </w:p>
    <w:p>
      <w:pPr>
        <w:spacing w:before="120" w:after="60"/>
        <w:jc w:val="left"/>
      </w:pPr>
      <w:r>
        <w:rPr>
          <w:rFonts w:ascii="Times New Roman" w:cs="Times New Roman" w:eastAsia="Times New Roman" w:hAnsi="Times New Roman"/>
          <w:b/>
          <w:bCs/>
          <w:i/>
          <w:iCs/>
          <w:color w:val="000000"/>
          <w:sz w:val="20"/>
          <w:szCs w:val="20"/>
        </w:rPr>
        <w:t xml:space="preserve">B. Neural Onboarding Pipeline (Resume Extraction)</w:t>
      </w:r>
    </w:p>
    <w:p>
      <w:pPr>
        <w:spacing w:before="0" w:after="100"/>
        <w:jc w:val="both"/>
      </w:pPr>
      <w:r>
        <w:rPr>
          <w:rFonts w:ascii="Times New Roman" w:cs="Times New Roman" w:eastAsia="Times New Roman" w:hAnsi="Times New Roman"/>
          <w:b w:val="false"/>
          <w:bCs w:val="false"/>
          <w:i w:val="false"/>
          <w:iCs w:val="false"/>
          <w:sz w:val="20"/>
          <w:szCs w:val="20"/>
        </w:rPr>
        <w:t xml:space="preserve">The resume extraction pipeline transforms an unstructured PDF document into a structured JSON skill graph in three stages. First, the uploaded PDF is stored in Cloudinary via a secure signed upload. The unpdf library then strips the binary PDF to its raw UTF-8 string representation without requiring a native PDF rendering context. The extracted text string is submitted to the GPT-4o API with a strict zero-shot parser prompt commanding the model to return a validated JSON object conforming to the following schema:</w:t>
      </w:r>
    </w:p>
    <w:p>
      <w:pPr>
        <w:spacing w:before="60" w:after="60"/>
        <w:ind w:left="720"/>
        <w:jc w:val="left"/>
      </w:pPr>
      <w:r>
        <w:rPr>
          <w:rFonts w:ascii="Courier New" w:cs="Courier New" w:eastAsia="Courier New" w:hAnsi="Courier New"/>
          <w:color w:val="1A1A8C"/>
          <w:sz w:val="18"/>
          <w:szCs w:val="18"/>
        </w:rPr>
        <w:t xml:space="preserve">{ technical_skills: string[], soft_skills: string[], tools: string[], frameworks: string[], projects: [{name, tech[], description}], internships: [{company, role, duration, skills[]}], education: {degree, branch, cgpa} }</w:t>
      </w:r>
    </w:p>
    <w:p>
      <w:pPr>
        <w:spacing w:before="0" w:after="100"/>
        <w:jc w:val="both"/>
      </w:pPr>
      <w:r>
        <w:rPr>
          <w:rFonts w:ascii="Times New Roman" w:cs="Times New Roman" w:eastAsia="Times New Roman" w:hAnsi="Times New Roman"/>
          <w:b w:val="false"/>
          <w:bCs w:val="false"/>
          <w:i w:val="false"/>
          <w:iCs w:val="false"/>
          <w:sz w:val="20"/>
          <w:szCs w:val="20"/>
        </w:rPr>
        <w:t xml:space="preserve">Temperature is set to 0 to enforce deterministic extraction. The parsed arrays are written to the SkillProfile table, and any pre-existing SkillProfile rows for the user are deleted first (self-healing data integrity). This cascade also triggers deletion of stale SkillGap and Sprint records, ensuring the dashboard reflects only the current competency state.</w:t>
      </w:r>
    </w:p>
    <w:p>
      <w:pPr>
        <w:spacing w:before="120" w:after="60"/>
        <w:jc w:val="left"/>
      </w:pPr>
      <w:r>
        <w:rPr>
          <w:rFonts w:ascii="Times New Roman" w:cs="Times New Roman" w:eastAsia="Times New Roman" w:hAnsi="Times New Roman"/>
          <w:b/>
          <w:bCs/>
          <w:i/>
          <w:iCs/>
          <w:color w:val="000000"/>
          <w:sz w:val="20"/>
          <w:szCs w:val="20"/>
        </w:rPr>
        <w:t xml:space="preserve">C. Dynamic Capability Gap Analysis Engine</w:t>
      </w:r>
    </w:p>
    <w:p>
      <w:pPr>
        <w:spacing w:before="0" w:after="100"/>
        <w:jc w:val="both"/>
      </w:pPr>
      <w:r>
        <w:rPr>
          <w:rFonts w:ascii="Times New Roman" w:cs="Times New Roman" w:eastAsia="Times New Roman" w:hAnsi="Times New Roman"/>
          <w:b w:val="false"/>
          <w:bCs w:val="false"/>
          <w:i w:val="false"/>
          <w:iCs w:val="false"/>
          <w:sz w:val="20"/>
          <w:szCs w:val="20"/>
        </w:rPr>
        <w:t xml:space="preserve">The gap analysis engine is invoked via a POST request to /api/gaps upon resume processing completion or target role change. The engine executes the following sequence: (1) query the JobPosting table for the 50 most recently scraped postings matching the user's target role, (2) deserialize the JSON-encoded required_skills arrays and aggregate a frequency table of demanded skills, (3) construct a comparison prompt pairing the user's extracted skill JSON against the top-20 market-demanded skills, and (4) receive a structured gap analysis JSON from GPT-4o including a readiness_percentage, a verdict string, a ranked missing_skills array with urgency tiers and estimated learning durations, a strengths array, and a quick_wins array.</w:t>
      </w:r>
    </w:p>
    <w:p>
      <w:pPr>
        <w:spacing w:before="0" w:after="100"/>
        <w:jc w:val="both"/>
      </w:pPr>
      <w:r>
        <w:rPr>
          <w:rFonts w:ascii="Times New Roman" w:cs="Times New Roman" w:eastAsia="Times New Roman" w:hAnsi="Times New Roman"/>
          <w:b w:val="false"/>
          <w:bCs w:val="false"/>
          <w:i w:val="false"/>
          <w:iCs w:val="false"/>
          <w:sz w:val="20"/>
          <w:szCs w:val="20"/>
        </w:rPr>
        <w:t xml:space="preserve">The urgency tiering (High / Medium / Low) is determined by the model as a function of skill demand frequency in the job corpus. The readiness_percentage is written back to the User record, and each missing skill is created as an individual SkillGap record.</w:t>
      </w:r>
    </w:p>
    <w:p>
      <w:pPr>
        <w:spacing w:before="120" w:after="60"/>
        <w:jc w:val="left"/>
      </w:pPr>
      <w:r>
        <w:rPr>
          <w:rFonts w:ascii="Times New Roman" w:cs="Times New Roman" w:eastAsia="Times New Roman" w:hAnsi="Times New Roman"/>
          <w:b/>
          <w:bCs/>
          <w:i/>
          <w:iCs/>
          <w:color w:val="000000"/>
          <w:sz w:val="20"/>
          <w:szCs w:val="20"/>
        </w:rPr>
        <w:t xml:space="preserve">D. 7-Day Sprint Generation Module</w:t>
      </w:r>
    </w:p>
    <w:p>
      <w:pPr>
        <w:spacing w:before="0" w:after="100"/>
        <w:jc w:val="both"/>
      </w:pPr>
      <w:r>
        <w:rPr>
          <w:rFonts w:ascii="Times New Roman" w:cs="Times New Roman" w:eastAsia="Times New Roman" w:hAnsi="Times New Roman"/>
          <w:b w:val="false"/>
          <w:bCs w:val="false"/>
          <w:i w:val="false"/>
          <w:iCs w:val="false"/>
          <w:sz w:val="20"/>
          <w:szCs w:val="20"/>
        </w:rPr>
        <w:t xml:space="preserve">Sprint generation is triggered when a user activates the 'Initialize Sprint Sequence' action. The backend retrieves the user's top three unclosed SkillGap records ordered by urgency. A generative prompt is constructed requesting a 7-node JSON array (Day 1 through Day 7), where each node contains: day, focus, topic, resource_type (video | article | practice), resource_title, resource_url, time_minutes, mini_task, and checkpoint. The response is stored as a JSON string in the Sprint.dayTasks field. The frontend deserializes and renders each day as an interactive checklist; marking a day complete issues a PATCH request that increments Sprint.completionPct and, upon reaching 100%, triggers a confetti animation and recomputes the user's readiness score.</w:t>
      </w:r>
    </w:p>
    <w:p>
      <w:pPr>
        <w:spacing w:before="120" w:after="60"/>
        <w:jc w:val="left"/>
      </w:pPr>
      <w:r>
        <w:rPr>
          <w:rFonts w:ascii="Times New Roman" w:cs="Times New Roman" w:eastAsia="Times New Roman" w:hAnsi="Times New Roman"/>
          <w:b/>
          <w:bCs/>
          <w:i/>
          <w:iCs/>
          <w:color w:val="000000"/>
          <w:sz w:val="20"/>
          <w:szCs w:val="20"/>
        </w:rPr>
        <w:t xml:space="preserve">E. Skill Market Intelligence Module</w:t>
      </w:r>
    </w:p>
    <w:p>
      <w:pPr>
        <w:spacing w:before="0" w:after="100"/>
        <w:jc w:val="both"/>
      </w:pPr>
      <w:r>
        <w:rPr>
          <w:rFonts w:ascii="Times New Roman" w:cs="Times New Roman" w:eastAsia="Times New Roman" w:hAnsi="Times New Roman"/>
          <w:b w:val="false"/>
          <w:bCs w:val="false"/>
          <w:i w:val="false"/>
          <w:iCs w:val="false"/>
          <w:sz w:val="20"/>
          <w:szCs w:val="20"/>
        </w:rPr>
        <w:t xml:space="preserve">The Skill Market module (/market) is publicly accessible. A background worker (Node-Cron scheduled at Sunday 00:00 IST) proxies the RapidAPI JSearch endpoint for 20 predefined target roles, collecting up to 50 results per role. Each job description is passed through a skill extraction sub-prompt to populate the JobPosting table. The frontend aggregates required_skills frequency counts and renders them as animated horizontal progress bars. A trending delta is computed by comparing current-week and previous-week frequency counts.</w:t>
      </w:r>
    </w:p>
    <w:p>
      <w:pPr>
        <w:spacing w:before="120" w:after="60"/>
        <w:jc w:val="left"/>
      </w:pPr>
      <w:r>
        <w:rPr>
          <w:rFonts w:ascii="Times New Roman" w:cs="Times New Roman" w:eastAsia="Times New Roman" w:hAnsi="Times New Roman"/>
          <w:b/>
          <w:bCs/>
          <w:i/>
          <w:iCs/>
          <w:color w:val="000000"/>
          <w:sz w:val="20"/>
          <w:szCs w:val="20"/>
        </w:rPr>
        <w:t xml:space="preserve">F. Peer Benchmarking Module</w:t>
      </w:r>
    </w:p>
    <w:p>
      <w:pPr>
        <w:spacing w:before="0" w:after="100"/>
        <w:jc w:val="both"/>
      </w:pPr>
      <w:r>
        <w:rPr>
          <w:rFonts w:ascii="Times New Roman" w:cs="Times New Roman" w:eastAsia="Times New Roman" w:hAnsi="Times New Roman"/>
          <w:b w:val="false"/>
          <w:bCs w:val="false"/>
          <w:i w:val="false"/>
          <w:iCs w:val="false"/>
          <w:sz w:val="20"/>
          <w:szCs w:val="20"/>
        </w:rPr>
        <w:t xml:space="preserve">On each readiness score update, an anonymized record (role, year, score — no PII) is appended to the Benchmarks table. The /benchmark endpoint aggregates the Benchmarks distribution for the user's target role and year, computing percentile rank, median, and the top-10th-percentile skill profile. A bell curve visualization renders the empirical distribution with the current user's position marked. The skills possessed by top-decile users but absent from the current user are surfaced as a ranked 'close the gap' list.</w:t>
      </w:r>
    </w:p>
    <w:p>
      <w:pPr>
        <w:spacing w:before="120" w:after="60"/>
        <w:jc w:val="left"/>
      </w:pPr>
      <w:r>
        <w:rPr>
          <w:rFonts w:ascii="Times New Roman" w:cs="Times New Roman" w:eastAsia="Times New Roman" w:hAnsi="Times New Roman"/>
          <w:b/>
          <w:bCs/>
          <w:i/>
          <w:iCs/>
          <w:color w:val="000000"/>
          <w:sz w:val="20"/>
          <w:szCs w:val="20"/>
        </w:rPr>
        <w:t xml:space="preserve">G. LinkedIn Profile Optimizer</w:t>
      </w:r>
    </w:p>
    <w:p>
      <w:pPr>
        <w:spacing w:before="0" w:after="100"/>
        <w:jc w:val="both"/>
      </w:pPr>
      <w:r>
        <w:rPr>
          <w:rFonts w:ascii="Times New Roman" w:cs="Times New Roman" w:eastAsia="Times New Roman" w:hAnsi="Times New Roman"/>
          <w:b w:val="false"/>
          <w:bCs w:val="false"/>
          <w:i w:val="false"/>
          <w:iCs w:val="false"/>
          <w:sz w:val="20"/>
          <w:szCs w:val="20"/>
        </w:rPr>
        <w:t xml:space="preserve">The LinkedIn Optimizer accepts a user's current headline, about section, and skills list. GPT-4o rewrites the profile for the user's target role, optimizing for ATS keyword density and recruiter attention. The response JSON includes the rewritten headline, about, skills list, a list of keywords added, estimated ATS scores before and after (computed via keyword overlap heuristics), and three improvement tips. A before/after diff view highlights specific textual changes.</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IV. DATABASE SCHEMA DESIGN</w:t>
      </w:r>
    </w:p>
    <w:p>
      <w:pPr>
        <w:spacing w:before="0" w:after="100"/>
        <w:jc w:val="both"/>
      </w:pPr>
      <w:r>
        <w:rPr>
          <w:rFonts w:ascii="Times New Roman" w:cs="Times New Roman" w:eastAsia="Times New Roman" w:hAnsi="Times New Roman"/>
          <w:b w:val="false"/>
          <w:bCs w:val="false"/>
          <w:i w:val="false"/>
          <w:iCs w:val="false"/>
          <w:sz w:val="20"/>
          <w:szCs w:val="20"/>
        </w:rPr>
        <w:t xml:space="preserve">SkillGraph's data layer is defined by five Prisma models constituting a normalized, relational schema. Table I presents the complete schema summary. The schema enforces cascading deletes: deleting a User cascade-deletes all associated SkillProfile, SkillGap, and Sprint records. SkillProfile rows are wiped and regenerated on each resume upload. Sprint records reference SkillGap records but are stored with denormalized skill names to prevent orphaned references when gaps are closed.</w:t>
      </w:r>
    </w:p>
    <w:p>
      <w:r>
        <w:rPr>
          <w:sz w:val="20"/>
          <w:szCs w:val="20"/>
        </w:rPr>
        <w:t xml:space="preserve"/>
      </w:r>
    </w:p>
    <w:p>
      <w:pPr>
        <w:spacing w:before="40" w:after="40"/>
        <w:jc w:val="center"/>
      </w:pPr>
      <w:r>
        <w:rPr>
          <w:rFonts w:ascii="Times New Roman" w:cs="Times New Roman" w:eastAsia="Times New Roman" w:hAnsi="Times New Roman"/>
          <w:b/>
          <w:bCs/>
          <w:smallCaps/>
          <w:sz w:val="18"/>
          <w:szCs w:val="18"/>
        </w:rPr>
        <w:t xml:space="preserve">TABLE I</w:t>
      </w:r>
    </w:p>
    <w:p>
      <w:pPr>
        <w:spacing w:before="0" w:after="80"/>
        <w:jc w:val="center"/>
      </w:pPr>
      <w:r>
        <w:rPr>
          <w:rFonts w:ascii="Times New Roman" w:cs="Times New Roman" w:eastAsia="Times New Roman" w:hAnsi="Times New Roman"/>
          <w:b/>
          <w:bCs/>
          <w:i/>
          <w:iCs/>
          <w:sz w:val="18"/>
          <w:szCs w:val="18"/>
        </w:rPr>
        <w:t xml:space="preserve">SkillGraph Prisma Database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Model</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Key Fields</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Relationships</w:t>
            </w:r>
          </w:p>
        </w:tc>
        <w:tc>
          <w:tcPr>
            <w:tcW w:type="dxa" w:w="31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Purpose</w:t>
            </w:r>
          </w:p>
        </w:tc>
      </w:tr>
      <w:tr>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User</w:t>
            </w:r>
          </w:p>
        </w:tc>
        <w:tc>
          <w:tcPr>
            <w:tcW w:type="dxa" w:w="2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id, email, name, college, targetRole, readinessScore, year</w:t>
            </w:r>
          </w:p>
        </w:tc>
        <w:tc>
          <w:tcPr>
            <w:tcW w:type="dxa" w:w="2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Has many SkillProfile, SkillGap, Sprint</w:t>
            </w:r>
          </w:p>
        </w:tc>
        <w:tc>
          <w:tcPr>
            <w:tcW w:type="dxa" w:w="316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Central identity and metrics store</w:t>
            </w:r>
          </w:p>
        </w:tc>
      </w:tr>
      <w:tr>
        <w:tc>
          <w:tcPr>
            <w:tcW w:type="dxa" w:w="12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SkillProfile</w:t>
            </w:r>
          </w:p>
        </w:tc>
        <w:tc>
          <w:tcPr>
            <w:tcW w:type="dxa" w:w="25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id, userId, skillName, category, proficiency, source</w:t>
            </w:r>
          </w:p>
        </w:tc>
        <w:tc>
          <w:tcPr>
            <w:tcW w:type="dxa" w:w="25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Belongs to User</w:t>
            </w:r>
          </w:p>
        </w:tc>
        <w:tc>
          <w:tcPr>
            <w:tcW w:type="dxa" w:w="316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Granular extracted skill entities</w:t>
            </w:r>
          </w:p>
        </w:tc>
      </w:tr>
      <w:tr>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SkillGap</w:t>
            </w:r>
          </w:p>
        </w:tc>
        <w:tc>
          <w:tcPr>
            <w:tcW w:type="dxa" w:w="2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id, userId, missingSkill, urgency, weeksToLearn, sprintGenerated</w:t>
            </w:r>
          </w:p>
        </w:tc>
        <w:tc>
          <w:tcPr>
            <w:tcW w:type="dxa" w:w="2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Belongs to User</w:t>
            </w:r>
          </w:p>
        </w:tc>
        <w:tc>
          <w:tcPr>
            <w:tcW w:type="dxa" w:w="316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Inverse of SkillProfile; market-calibrated gaps</w:t>
            </w:r>
          </w:p>
        </w:tc>
      </w:tr>
      <w:tr>
        <w:tc>
          <w:tcPr>
            <w:tcW w:type="dxa" w:w="12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Sprint</w:t>
            </w:r>
          </w:p>
        </w:tc>
        <w:tc>
          <w:tcPr>
            <w:tcW w:type="dxa" w:w="25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id, userId, weekStartDate, dayTasks (JSON), completionPct, status</w:t>
            </w:r>
          </w:p>
        </w:tc>
        <w:tc>
          <w:tcPr>
            <w:tcW w:type="dxa" w:w="25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Belongs to User, references SkillGap</w:t>
            </w:r>
          </w:p>
        </w:tc>
        <w:tc>
          <w:tcPr>
            <w:tcW w:type="dxa" w:w="316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r>
              <w:rPr>
                <w:rFonts w:ascii="Times New Roman" w:cs="Times New Roman" w:eastAsia="Times New Roman" w:hAnsi="Times New Roman"/>
                <w:sz w:val="17"/>
                <w:szCs w:val="17"/>
              </w:rPr>
              <w:t xml:space="preserve">7-day AI-generated execution plan</w:t>
            </w:r>
          </w:p>
        </w:tc>
      </w:tr>
      <w:tr>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JobPosting</w:t>
            </w:r>
          </w:p>
        </w:tc>
        <w:tc>
          <w:tcPr>
            <w:tcW w:type="dxa" w:w="2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id, company, role, location, salaryBand, requiredSkills (JSON), postedDate</w:t>
            </w:r>
          </w:p>
        </w:tc>
        <w:tc>
          <w:tcPr>
            <w:tcW w:type="dxa" w:w="2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Referenced by Gap Analysis</w:t>
            </w:r>
          </w:p>
        </w:tc>
        <w:tc>
          <w:tcPr>
            <w:tcW w:type="dxa" w:w="316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Times New Roman" w:cs="Times New Roman" w:eastAsia="Times New Roman" w:hAnsi="Times New Roman"/>
                <w:sz w:val="17"/>
                <w:szCs w:val="17"/>
              </w:rPr>
              <w:t xml:space="preserve">Scraped live market intelligence store</w:t>
            </w:r>
          </w:p>
        </w:tc>
      </w:tr>
    </w:tbl>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V. EXPERIMENTAL EVALUATION AND RESULTS</w:t>
      </w:r>
    </w:p>
    <w:p>
      <w:pPr>
        <w:spacing w:before="120" w:after="60"/>
        <w:jc w:val="left"/>
      </w:pPr>
      <w:r>
        <w:rPr>
          <w:rFonts w:ascii="Times New Roman" w:cs="Times New Roman" w:eastAsia="Times New Roman" w:hAnsi="Times New Roman"/>
          <w:b/>
          <w:bCs/>
          <w:i/>
          <w:iCs/>
          <w:color w:val="000000"/>
          <w:sz w:val="20"/>
          <w:szCs w:val="20"/>
        </w:rPr>
        <w:t xml:space="preserve">A. Pilot Study Design</w:t>
      </w:r>
    </w:p>
    <w:p>
      <w:pPr>
        <w:spacing w:before="0" w:after="100"/>
        <w:jc w:val="both"/>
      </w:pPr>
      <w:r>
        <w:rPr>
          <w:rFonts w:ascii="Times New Roman" w:cs="Times New Roman" w:eastAsia="Times New Roman" w:hAnsi="Times New Roman"/>
          <w:b w:val="false"/>
          <w:bCs w:val="false"/>
          <w:i w:val="false"/>
          <w:iCs w:val="false"/>
          <w:sz w:val="20"/>
          <w:szCs w:val="20"/>
        </w:rPr>
        <w:t xml:space="preserve">A pilot study was conducted with 50 B.Tech Computer Science and Engineering students across two cohorts (second-year and third-year). Participants were drawn from a single institution with a mix of tier-2 and tier-3 college background. Target roles spanned SDE (Software Development Engineer), Data Analyst, ML Engineer, and Full Stack Developer. Each participant used the platform for 30 consecutive days, submitting their resume on Day 1 and being evaluated on Day 30. No control group intervention was applied; the study is observational.</w:t>
      </w:r>
    </w:p>
    <w:p>
      <w:pPr>
        <w:spacing w:before="120" w:after="60"/>
        <w:jc w:val="left"/>
      </w:pPr>
      <w:r>
        <w:rPr>
          <w:rFonts w:ascii="Times New Roman" w:cs="Times New Roman" w:eastAsia="Times New Roman" w:hAnsi="Times New Roman"/>
          <w:b/>
          <w:bCs/>
          <w:i/>
          <w:iCs/>
          <w:color w:val="000000"/>
          <w:sz w:val="20"/>
          <w:szCs w:val="20"/>
        </w:rPr>
        <w:t xml:space="preserve">B. Evaluation Metrics</w:t>
      </w:r>
    </w:p>
    <w:p>
      <w:pPr>
        <w:spacing w:before="0" w:after="100"/>
        <w:jc w:val="both"/>
      </w:pPr>
      <w:r>
        <w:rPr>
          <w:rFonts w:ascii="Times New Roman" w:cs="Times New Roman" w:eastAsia="Times New Roman" w:hAnsi="Times New Roman"/>
          <w:b w:val="false"/>
          <w:bCs w:val="false"/>
          <w:i w:val="false"/>
          <w:iCs w:val="false"/>
          <w:sz w:val="20"/>
          <w:szCs w:val="20"/>
        </w:rPr>
        <w:t xml:space="preserve">The following metrics were captured: (1) Readiness Score delta (Day 30 minus Day 1), (2) Sprint completion percentage (fraction of 7-day sprint tasks marked complete), (3) LinkedIn ATS score improvement (before vs. after optimization), (4) self-reported satisfaction on a 5-point Likert scale, and (5) recruiter outreach received (binary, self-reported at Day 30). Table II summarizes system-level performance metrics across all major modules.</w:t>
      </w:r>
    </w:p>
    <w:p>
      <w:r>
        <w:rPr>
          <w:sz w:val="20"/>
          <w:szCs w:val="20"/>
        </w:rPr>
        <w:t xml:space="preserve"/>
      </w:r>
    </w:p>
    <w:p>
      <w:pPr>
        <w:spacing w:before="40" w:after="40"/>
        <w:jc w:val="center"/>
      </w:pPr>
      <w:r>
        <w:rPr>
          <w:rFonts w:ascii="Times New Roman" w:cs="Times New Roman" w:eastAsia="Times New Roman" w:hAnsi="Times New Roman"/>
          <w:b/>
          <w:bCs/>
          <w:smallCaps/>
          <w:sz w:val="18"/>
          <w:szCs w:val="18"/>
        </w:rPr>
        <w:t xml:space="preserve">TABLE II</w:t>
      </w:r>
    </w:p>
    <w:p>
      <w:pPr>
        <w:spacing w:before="0" w:after="80"/>
        <w:jc w:val="center"/>
      </w:pPr>
      <w:r>
        <w:rPr>
          <w:rFonts w:ascii="Times New Roman" w:cs="Times New Roman" w:eastAsia="Times New Roman" w:hAnsi="Times New Roman"/>
          <w:b/>
          <w:bCs/>
          <w:i/>
          <w:iCs/>
          <w:sz w:val="18"/>
          <w:szCs w:val="18"/>
        </w:rPr>
        <w:t xml:space="preserve">System Performance Metrics Across SkillGraph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Module / Feature</w:t>
            </w:r>
          </w:p>
        </w:tc>
        <w:tc>
          <w:tcPr>
            <w:tcW w:type="dxa" w:w="234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Metric</w:t>
            </w:r>
          </w:p>
        </w:tc>
        <w:tc>
          <w:tcPr>
            <w:tcW w:type="dxa" w:w="234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Measured Value</w:t>
            </w:r>
          </w:p>
        </w:tc>
        <w:tc>
          <w:tcPr>
            <w:tcW w:type="dxa" w:w="234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Benchmark</w:t>
            </w:r>
          </w:p>
        </w:tc>
      </w:tr>
      <w:tr>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Resume Skill Extractor</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Extraction Accuracy</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94.3%</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&gt; 90%</w:t>
            </w:r>
          </w:p>
        </w:tc>
      </w:tr>
      <w:tr>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Resume Skill Extractor</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Avg. Processing Time</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8.2 sec</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&lt; 15 sec</w:t>
            </w:r>
          </w:p>
        </w:tc>
      </w:tr>
      <w:tr>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Gap Analysis Engine</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Readiness Score Precision</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91.7%</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&gt; 88%</w:t>
            </w:r>
          </w:p>
        </w:tc>
      </w:tr>
      <w:tr>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Gap Analysis Engine</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API Response Latency</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1.4 sec</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&lt; 3 sec</w:t>
            </w:r>
          </w:p>
        </w:tc>
      </w:tr>
      <w:tr>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Sprint Generator</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User Satisfaction (Pilot)</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4.3 / 5.0</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&gt; 4.0</w:t>
            </w:r>
          </w:p>
        </w:tc>
      </w:tr>
      <w:tr>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Skill Market Index</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Data Freshness</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Weekly</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Weekly</w:t>
            </w:r>
          </w:p>
        </w:tc>
      </w:tr>
      <w:tr>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LinkedIn Optimizer</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ATS Score Improvement</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+43 pts avg</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&gt; +35 pts</w:t>
            </w:r>
          </w:p>
        </w:tc>
      </w:tr>
      <w:tr>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Benchmark Module</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Percentile Accuracy</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 2 percentile</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 5 percentile</w:t>
            </w:r>
          </w:p>
        </w:tc>
      </w:tr>
      <w:tr>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Authentication</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JWT Session Security</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bcrypt + stateless</w:t>
            </w:r>
          </w:p>
        </w:tc>
        <w:tc>
          <w:tcPr>
            <w:tcW w:type="dxa" w:w="23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Industry std.</w:t>
            </w:r>
          </w:p>
        </w:tc>
      </w:tr>
      <w:tr>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Overall Platform</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Page Load Time (p95)</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1.8 sec</w:t>
            </w:r>
          </w:p>
        </w:tc>
        <w:tc>
          <w:tcPr>
            <w:tcW w:type="dxa" w:w="234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sz w:val="18"/>
                <w:szCs w:val="18"/>
              </w:rPr>
              <w:t xml:space="preserve">&lt; 2.5 sec</w:t>
            </w:r>
          </w:p>
        </w:tc>
      </w:tr>
    </w:tbl>
    <w:p>
      <w:r>
        <w:rPr>
          <w:sz w:val="20"/>
          <w:szCs w:val="20"/>
        </w:rPr>
        <w:t xml:space="preserve"/>
      </w:r>
    </w:p>
    <w:p>
      <w:pPr>
        <w:spacing w:before="120" w:after="60"/>
        <w:jc w:val="left"/>
      </w:pPr>
      <w:r>
        <w:rPr>
          <w:rFonts w:ascii="Times New Roman" w:cs="Times New Roman" w:eastAsia="Times New Roman" w:hAnsi="Times New Roman"/>
          <w:b/>
          <w:bCs/>
          <w:i/>
          <w:iCs/>
          <w:color w:val="000000"/>
          <w:sz w:val="20"/>
          <w:szCs w:val="20"/>
        </w:rPr>
        <w:t xml:space="preserve">C. Pilot Results</w:t>
      </w:r>
    </w:p>
    <w:p>
      <w:pPr>
        <w:spacing w:before="0" w:after="100"/>
        <w:jc w:val="both"/>
      </w:pPr>
      <w:r>
        <w:rPr>
          <w:rFonts w:ascii="Times New Roman" w:cs="Times New Roman" w:eastAsia="Times New Roman" w:hAnsi="Times New Roman"/>
          <w:b w:val="false"/>
          <w:bCs w:val="false"/>
          <w:i w:val="false"/>
          <w:iCs w:val="false"/>
          <w:sz w:val="20"/>
          <w:szCs w:val="20"/>
        </w:rPr>
        <w:t xml:space="preserve">Across 50 participants, the mean readiness score improved from 51.3% on Day 1 to 63.0% on Day 30, representing a mean improvement of 23.0% (SD = 8.4%). Fourteen participants (28%) reported receiving unsolicited recruiter contact within 30 days of profile optimization, representing a statistically notable outcome given the short observation window. Sprint completion averaged 71.2% across all active sprints. User satisfaction with the AI-generated sprints averaged 4.3 / 5.0 on the Likert scale. LinkedIn ATS scores improved by an average of 43 points following optimization, with a standard deviation of 12 points.</w:t>
      </w:r>
    </w:p>
    <w:p>
      <w:pPr>
        <w:spacing w:before="0" w:after="100"/>
        <w:jc w:val="both"/>
      </w:pPr>
      <w:r>
        <w:rPr>
          <w:rFonts w:ascii="Times New Roman" w:cs="Times New Roman" w:eastAsia="Times New Roman" w:hAnsi="Times New Roman"/>
          <w:b w:val="false"/>
          <w:bCs w:val="false"/>
          <w:i w:val="false"/>
          <w:iCs w:val="false"/>
          <w:sz w:val="20"/>
          <w:szCs w:val="20"/>
        </w:rPr>
        <w:t xml:space="preserve">The resume skill extractor achieved 94.3% accuracy as evaluated by manual inspection of 30 randomly sampled resumes, with primary errors occurring in the classification of ambiguous technologies as tools versus frameworks. Gap analysis API latency averaged 1.4 seconds for the gpt-4o model, within the target threshold. Page load time (p95) of 1.8 seconds was measured under simulated 50-concurrent-user load.</w:t>
      </w:r>
    </w:p>
    <w:p>
      <w:pPr>
        <w:spacing w:before="120" w:after="60"/>
        <w:jc w:val="left"/>
      </w:pPr>
      <w:r>
        <w:rPr>
          <w:rFonts w:ascii="Times New Roman" w:cs="Times New Roman" w:eastAsia="Times New Roman" w:hAnsi="Times New Roman"/>
          <w:b/>
          <w:bCs/>
          <w:i/>
          <w:iCs/>
          <w:color w:val="000000"/>
          <w:sz w:val="20"/>
          <w:szCs w:val="20"/>
        </w:rPr>
        <w:t xml:space="preserve">D. Competitive Comparison</w:t>
      </w:r>
    </w:p>
    <w:p>
      <w:pPr>
        <w:spacing w:before="0" w:after="100"/>
        <w:jc w:val="both"/>
      </w:pPr>
      <w:r>
        <w:rPr>
          <w:rFonts w:ascii="Times New Roman" w:cs="Times New Roman" w:eastAsia="Times New Roman" w:hAnsi="Times New Roman"/>
          <w:b w:val="false"/>
          <w:bCs w:val="false"/>
          <w:i w:val="false"/>
          <w:iCs w:val="false"/>
          <w:sz w:val="20"/>
          <w:szCs w:val="20"/>
        </w:rPr>
        <w:t xml:space="preserve">Table III presents a comparative feature matrix positioning SkillGraph against incumbent platforms.</w:t>
      </w:r>
    </w:p>
    <w:p>
      <w:r>
        <w:rPr>
          <w:sz w:val="20"/>
          <w:szCs w:val="20"/>
        </w:rPr>
        <w:t xml:space="preserve"/>
      </w:r>
    </w:p>
    <w:p>
      <w:pPr>
        <w:spacing w:before="40" w:after="40"/>
        <w:jc w:val="center"/>
      </w:pPr>
      <w:r>
        <w:rPr>
          <w:rFonts w:ascii="Times New Roman" w:cs="Times New Roman" w:eastAsia="Times New Roman" w:hAnsi="Times New Roman"/>
          <w:b/>
          <w:bCs/>
          <w:smallCaps/>
          <w:sz w:val="18"/>
          <w:szCs w:val="18"/>
        </w:rPr>
        <w:t xml:space="preserve">TABLE III</w:t>
      </w:r>
    </w:p>
    <w:p>
      <w:pPr>
        <w:spacing w:before="0" w:after="80"/>
        <w:jc w:val="center"/>
      </w:pPr>
      <w:r>
        <w:rPr>
          <w:rFonts w:ascii="Times New Roman" w:cs="Times New Roman" w:eastAsia="Times New Roman" w:hAnsi="Times New Roman"/>
          <w:b/>
          <w:bCs/>
          <w:i/>
          <w:iCs/>
          <w:sz w:val="18"/>
          <w:szCs w:val="18"/>
        </w:rPr>
        <w:t xml:space="preserve">Competitive Feature Comparison: SkillGraph vs. Incumbent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260"/>
      </w:tblGrid>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 / Capability</w:t>
            </w:r>
          </w:p>
        </w:tc>
        <w:tc>
          <w:tcPr>
            <w:tcW w:type="dxa" w:w="11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LinkedIn</w:t>
            </w:r>
          </w:p>
        </w:tc>
        <w:tc>
          <w:tcPr>
            <w:tcW w:type="dxa" w:w="11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Coursera</w:t>
            </w:r>
          </w:p>
        </w:tc>
        <w:tc>
          <w:tcPr>
            <w:tcW w:type="dxa" w:w="11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Naukri</w:t>
            </w:r>
          </w:p>
        </w:tc>
        <w:tc>
          <w:tcPr>
            <w:tcW w:type="dxa" w:w="12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SkillGraph</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Resume-based skill extraction</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Partial</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 (AI, full)</w:t>
            </w:r>
          </w:p>
        </w:tc>
      </w:tr>
      <w:tr>
        <w:tc>
          <w:tcPr>
            <w:tcW w:type="dxa" w:w="28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Live job market data integration</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1B5E20"/>
                <w:sz w:val="18"/>
                <w:szCs w:val="18"/>
              </w:rPr>
              <w:t xml:space="preserve">Yes</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1B5E20"/>
                <w:sz w:val="18"/>
                <w:szCs w:val="18"/>
              </w:rPr>
              <w:t xml:space="preserve">Yes</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 (10K+/week)</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Personalized skill gap score</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 (0–100%)</w:t>
            </w:r>
          </w:p>
        </w:tc>
      </w:tr>
      <w:tr>
        <w:tc>
          <w:tcPr>
            <w:tcW w:type="dxa" w:w="28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AI-generated weekly sprint plan</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 (7-day)</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Peer anonymous benchmarking</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Partial</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 (bell curve)</w:t>
            </w:r>
          </w:p>
        </w:tc>
      </w:tr>
      <w:tr>
        <w:tc>
          <w:tcPr>
            <w:tcW w:type="dxa" w:w="28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LinkedIn profile ATS optimizer</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AI project idea suggester</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000000"/>
                <w:sz w:val="18"/>
                <w:szCs w:val="18"/>
              </w:rPr>
              <w:t xml:space="preserve">Free to use (full feature)</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Partial</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000000"/>
                <w:sz w:val="18"/>
                <w:szCs w:val="18"/>
              </w:rPr>
              <w:t xml:space="preserve">Partial</w:t>
            </w:r>
          </w:p>
        </w:tc>
        <w:tc>
          <w:tcPr>
            <w:tcW w:type="dxa" w:w="1260"/>
            <w:tcBorders>
              <w:top w:val="single" w:color="AAAAAA" w:sz="1"/>
              <w:left w:val="single" w:color="AAAAAA" w:sz="1"/>
              <w:bottom w:val="single" w:color="AAAAAA" w:sz="1"/>
              <w:right w:val="single" w:color="AAAAAA" w:sz="1"/>
            </w:tcBorders>
            <w:shd w:fill="E8F5E9" w:val="clear"/>
            <w:tcMar>
              <w:top w:type="dxa" w:w="50"/>
              <w:left w:type="dxa" w:w="100"/>
              <w:bottom w:type="dxa" w:w="50"/>
              <w:right w:type="dxa" w:w="100"/>
            </w:tcMar>
          </w:tcPr>
          <w:p>
            <w:pPr>
              <w:jc w:val="center"/>
            </w:pPr>
            <w:r>
              <w:rPr>
                <w:rFonts w:ascii="Times New Roman" w:cs="Times New Roman" w:eastAsia="Times New Roman" w:hAnsi="Times New Roman"/>
                <w:b/>
                <w:bCs/>
                <w:color w:val="1B5E20"/>
                <w:sz w:val="18"/>
                <w:szCs w:val="18"/>
              </w:rPr>
              <w:t xml:space="preserve">Yes</w:t>
            </w:r>
          </w:p>
        </w:tc>
      </w:tr>
    </w:tbl>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VI. SDG 9 ALIGNMENT</w:t>
      </w:r>
    </w:p>
    <w:p>
      <w:pPr>
        <w:spacing w:before="0" w:after="100"/>
        <w:jc w:val="both"/>
      </w:pPr>
      <w:r>
        <w:rPr>
          <w:rFonts w:ascii="Times New Roman" w:cs="Times New Roman" w:eastAsia="Times New Roman" w:hAnsi="Times New Roman"/>
          <w:b w:val="false"/>
          <w:bCs w:val="false"/>
          <w:i w:val="false"/>
          <w:iCs w:val="false"/>
          <w:sz w:val="20"/>
          <w:szCs w:val="20"/>
        </w:rPr>
        <w:t xml:space="preserve">SkillGraph directly addresses United Nations Sustainable Development Goal 9: Industry, Innovation and Infrastructure — specifically Target 9.5 (enhance scientific research and upgrade technological capabilities) and Target 9.b (support domestic technology development and industrial diversification). By democratizing access to personalized career intelligence, SkillGraph reduces the systematic disadvantage faced by students from tier-2 and tier-3 institutions who lack robust alumni networks and institutional placement support, contributing to SDG 8.6 (reduce the proportion of youth not in employment, education, or training) and SDG 4.4 (increase the number of youth with relevant skills for employment).</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VII. CONCLUSION AND FUTURE WORK</w:t>
      </w:r>
    </w:p>
    <w:p>
      <w:pPr>
        <w:spacing w:before="0" w:after="100"/>
        <w:jc w:val="both"/>
      </w:pPr>
      <w:r>
        <w:rPr>
          <w:rFonts w:ascii="Times New Roman" w:cs="Times New Roman" w:eastAsia="Times New Roman" w:hAnsi="Times New Roman"/>
          <w:b w:val="false"/>
          <w:bCs w:val="false"/>
          <w:i w:val="false"/>
          <w:iCs w:val="false"/>
          <w:sz w:val="20"/>
          <w:szCs w:val="20"/>
        </w:rPr>
        <w:t xml:space="preserve">This paper presented SkillGraph, an AI-powered Career Intelligence Platform that addresses the engineering graduate skill gap through a unified pipeline of resume skill extraction, live market gap analysis, deterministic sprint generation, peer benchmarking, and profile optimization. Built on Next.js 14, PostgreSQL/Prisma, and GPT-4o, the platform achieved a mean readiness score improvement of 23% in a 30-day pilot study with 50 engineering students, with 28% of participants reporting recruiter outreach following profile optimization.</w:t>
      </w:r>
    </w:p>
    <w:p>
      <w:pPr>
        <w:spacing w:before="0" w:after="100"/>
        <w:jc w:val="both"/>
      </w:pPr>
      <w:r>
        <w:rPr>
          <w:rFonts w:ascii="Times New Roman" w:cs="Times New Roman" w:eastAsia="Times New Roman" w:hAnsi="Times New Roman"/>
          <w:b w:val="false"/>
          <w:bCs w:val="false"/>
          <w:i w:val="false"/>
          <w:iCs w:val="false"/>
          <w:sz w:val="20"/>
          <w:szCs w:val="20"/>
        </w:rPr>
        <w:t xml:space="preserve">Future work will focus on four directions: (1) expansion of the job scraping corpus to include international markets and non-LinkedIn sources, (2) integration with institutional placement cell APIs to provide college-level aggregate analytics, (3) development of a recruiter-facing talent discovery portal that preserves candidate anonymity until mutual interest is established, and (4) a formal longitudinal study measuring placement outcomes 6 months post-intervention to establish causal efficacy.</w:t>
      </w:r>
    </w:p>
    <w:p>
      <w:pPr>
        <w:spacing w:before="0" w:after="100"/>
        <w:jc w:val="both"/>
      </w:pPr>
      <w:r>
        <w:rPr>
          <w:rFonts w:ascii="Times New Roman" w:cs="Times New Roman" w:eastAsia="Times New Roman" w:hAnsi="Times New Roman"/>
          <w:b w:val="false"/>
          <w:bCs w:val="false"/>
          <w:i w:val="false"/>
          <w:iCs w:val="false"/>
          <w:sz w:val="20"/>
          <w:szCs w:val="20"/>
        </w:rPr>
        <w:t xml:space="preserve">SkillGraph is available as an open-source reference implementation to support replication and extension by the research community.</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ACKNOWLEDGMENTS</w:t>
      </w:r>
    </w:p>
    <w:p>
      <w:pPr>
        <w:spacing w:before="0" w:after="100"/>
        <w:jc w:val="both"/>
      </w:pPr>
      <w:r>
        <w:rPr>
          <w:rFonts w:ascii="Times New Roman" w:cs="Times New Roman" w:eastAsia="Times New Roman" w:hAnsi="Times New Roman"/>
          <w:b w:val="false"/>
          <w:bCs w:val="false"/>
          <w:i w:val="false"/>
          <w:iCs w:val="false"/>
          <w:sz w:val="20"/>
          <w:szCs w:val="20"/>
        </w:rPr>
        <w:t xml:space="preserve">The authors thank the 50 student participants in the pilot study for their time and candid feedback. This work was conducted under the supervision of the Department of Computer Science and Engineering as part of the minor project curriculum (Semester V–VI). No external funding was received.</w:t>
      </w:r>
    </w:p>
    <w:p>
      <w:r>
        <w:rPr>
          <w:sz w:val="20"/>
          <w:szCs w:val="20"/>
        </w:rPr>
        <w:t xml:space="preserve"/>
      </w:r>
    </w:p>
    <w:p>
      <w:pPr>
        <w:spacing w:before="160" w:after="80"/>
        <w:jc w:val="left"/>
      </w:pPr>
      <w:r>
        <w:rPr>
          <w:rFonts w:ascii="Times New Roman" w:cs="Times New Roman" w:eastAsia="Times New Roman" w:hAnsi="Times New Roman"/>
          <w:b/>
          <w:bCs/>
          <w:color w:val="000000"/>
          <w:sz w:val="22"/>
          <w:szCs w:val="22"/>
        </w:rPr>
        <w:t xml:space="preserve">REFERENCES</w:t>
      </w:r>
    </w:p>
    <w:p>
      <w:pPr>
        <w:spacing w:before="0" w:after="60"/>
        <w:jc w:val="left"/>
      </w:pPr>
      <w:r>
        <w:rPr>
          <w:rFonts w:ascii="Times New Roman" w:cs="Times New Roman" w:eastAsia="Times New Roman" w:hAnsi="Times New Roman"/>
          <w:sz w:val="18"/>
          <w:szCs w:val="18"/>
        </w:rPr>
        <w:t xml:space="preserve">[1] A. Vaswani et al., "Attention is all you need," in Proc. NeurIPS, 2017.</w:t>
      </w:r>
    </w:p>
    <w:p>
      <w:pPr>
        <w:spacing w:before="0" w:after="60"/>
        <w:jc w:val="left"/>
      </w:pPr>
      <w:r>
        <w:rPr>
          <w:rFonts w:ascii="Times New Roman" w:cs="Times New Roman" w:eastAsia="Times New Roman" w:hAnsi="Times New Roman"/>
          <w:sz w:val="18"/>
          <w:szCs w:val="18"/>
        </w:rPr>
        <w:t xml:space="preserve">[2] OpenAI, "GPT-4 Technical Report," arXiv:2303.08774, 2023.</w:t>
      </w:r>
    </w:p>
    <w:p>
      <w:pPr>
        <w:spacing w:before="0" w:after="60"/>
        <w:jc w:val="left"/>
      </w:pPr>
      <w:r>
        <w:rPr>
          <w:rFonts w:ascii="Times New Roman" w:cs="Times New Roman" w:eastAsia="Times New Roman" w:hAnsi="Times New Roman"/>
          <w:sz w:val="18"/>
          <w:szCs w:val="18"/>
        </w:rPr>
        <w:t xml:space="preserve">[3] T. Brown et al., "Language Models are Few-Shot Learners," arXiv:2005.14165, 2020.</w:t>
      </w:r>
    </w:p>
    <w:p>
      <w:pPr>
        <w:spacing w:before="0" w:after="60"/>
        <w:jc w:val="left"/>
      </w:pPr>
      <w:r>
        <w:rPr>
          <w:rFonts w:ascii="Times New Roman" w:cs="Times New Roman" w:eastAsia="Times New Roman" w:hAnsi="Times New Roman"/>
          <w:sz w:val="18"/>
          <w:szCs w:val="18"/>
        </w:rPr>
        <w:t xml:space="preserve">[4] NASSCOM, "Future of Work – Reskilling Report," NASSCOM Strategic Review, 2024.</w:t>
      </w:r>
    </w:p>
    <w:p>
      <w:pPr>
        <w:spacing w:before="0" w:after="60"/>
        <w:jc w:val="left"/>
      </w:pPr>
      <w:r>
        <w:rPr>
          <w:rFonts w:ascii="Times New Roman" w:cs="Times New Roman" w:eastAsia="Times New Roman" w:hAnsi="Times New Roman"/>
          <w:sz w:val="18"/>
          <w:szCs w:val="18"/>
        </w:rPr>
        <w:t xml:space="preserve">[5] A. Krizhevsky, I. Sutskever, and G. E. Hinton, "ImageNet Classification with Deep CNNs," CACM, vol. 60, no. 6, 2017.</w:t>
      </w:r>
    </w:p>
    <w:p>
      <w:pPr>
        <w:spacing w:before="0" w:after="60"/>
        <w:jc w:val="left"/>
      </w:pPr>
      <w:r>
        <w:rPr>
          <w:rFonts w:ascii="Times New Roman" w:cs="Times New Roman" w:eastAsia="Times New Roman" w:hAnsi="Times New Roman"/>
          <w:sz w:val="18"/>
          <w:szCs w:val="18"/>
        </w:rPr>
        <w:t xml:space="preserve">[6] O. Vinyals et al., "Pointer Networks," in Proc. NeurIPS, 2015.</w:t>
      </w:r>
    </w:p>
    <w:p>
      <w:pPr>
        <w:spacing w:before="0" w:after="60"/>
        <w:jc w:val="left"/>
      </w:pPr>
      <w:r>
        <w:rPr>
          <w:rFonts w:ascii="Times New Roman" w:cs="Times New Roman" w:eastAsia="Times New Roman" w:hAnsi="Times New Roman"/>
          <w:sz w:val="18"/>
          <w:szCs w:val="18"/>
        </w:rPr>
        <w:t xml:space="preserve">[7] X. He et al., "Neural collaborative filtering," in Proc. WWW, 2017.</w:t>
      </w:r>
    </w:p>
    <w:p>
      <w:pPr>
        <w:spacing w:before="0" w:after="60"/>
        <w:jc w:val="left"/>
      </w:pPr>
      <w:r>
        <w:rPr>
          <w:rFonts w:ascii="Times New Roman" w:cs="Times New Roman" w:eastAsia="Times New Roman" w:hAnsi="Times New Roman"/>
          <w:sz w:val="18"/>
          <w:szCs w:val="18"/>
        </w:rPr>
        <w:t xml:space="preserve">[8] D. Sculley et al., "Hidden technical debt in machine learning systems," in Proc. NeurIPS, 2015.</w:t>
      </w:r>
    </w:p>
    <w:p>
      <w:pPr>
        <w:spacing w:before="0" w:after="60"/>
        <w:jc w:val="left"/>
      </w:pPr>
      <w:r>
        <w:rPr>
          <w:rFonts w:ascii="Times New Roman" w:cs="Times New Roman" w:eastAsia="Times New Roman" w:hAnsi="Times New Roman"/>
          <w:sz w:val="18"/>
          <w:szCs w:val="18"/>
        </w:rPr>
        <w:t xml:space="preserve">[9] S. Russell and P. Norvig, Artificial Intelligence: A Modern Approach, 4th ed. Hoboken, NJ: Pearson, 2020.</w:t>
      </w:r>
    </w:p>
    <w:p>
      <w:pPr>
        <w:spacing w:before="0" w:after="60"/>
        <w:jc w:val="left"/>
      </w:pPr>
      <w:r>
        <w:rPr>
          <w:rFonts w:ascii="Times New Roman" w:cs="Times New Roman" w:eastAsia="Times New Roman" w:hAnsi="Times New Roman"/>
          <w:sz w:val="18"/>
          <w:szCs w:val="18"/>
        </w:rPr>
        <w:t xml:space="preserve">[10] M. Prisma, "Prisma ORM Documentation," Prisma.io, 2024. [Online]. Available: https://www.prisma.io/docs</w:t>
      </w:r>
    </w:p>
    <w:p>
      <w:pPr>
        <w:spacing w:before="0" w:after="60"/>
        <w:jc w:val="left"/>
      </w:pPr>
      <w:r>
        <w:rPr>
          <w:rFonts w:ascii="Times New Roman" w:cs="Times New Roman" w:eastAsia="Times New Roman" w:hAnsi="Times New Roman"/>
          <w:sz w:val="18"/>
          <w:szCs w:val="18"/>
        </w:rPr>
        <w:t xml:space="preserve">[11] Vercel, "Next.js 14 Documentation," 2024. [Online]. Available: https://nextjs.org/docs</w:t>
      </w:r>
    </w:p>
    <w:p>
      <w:pPr>
        <w:spacing w:before="0" w:after="60"/>
        <w:jc w:val="left"/>
      </w:pPr>
      <w:r>
        <w:rPr>
          <w:rFonts w:ascii="Times New Roman" w:cs="Times New Roman" w:eastAsia="Times New Roman" w:hAnsi="Times New Roman"/>
          <w:sz w:val="18"/>
          <w:szCs w:val="18"/>
        </w:rPr>
        <w:t xml:space="preserve">[12] PostgreSQL Global Development Group, "PostgreSQL 16 Documentation," 2024.</w:t>
      </w:r>
    </w:p>
    <w:p>
      <w:pPr>
        <w:spacing w:before="0" w:after="60"/>
        <w:jc w:val="left"/>
      </w:pPr>
      <w:r>
        <w:rPr>
          <w:rFonts w:ascii="Times New Roman" w:cs="Times New Roman" w:eastAsia="Times New Roman" w:hAnsi="Times New Roman"/>
          <w:sz w:val="18"/>
          <w:szCs w:val="18"/>
        </w:rPr>
        <w:t xml:space="preserve">[13] I. Goodfellow, Y. Bengio, and A. Courville, Deep Learning. Cambridge, MA: MIT Press, 2016.</w:t>
      </w:r>
    </w:p>
    <w:p>
      <w:pPr>
        <w:spacing w:before="0" w:after="60"/>
        <w:jc w:val="left"/>
      </w:pPr>
      <w:r>
        <w:rPr>
          <w:rFonts w:ascii="Times New Roman" w:cs="Times New Roman" w:eastAsia="Times New Roman" w:hAnsi="Times New Roman"/>
          <w:sz w:val="18"/>
          <w:szCs w:val="18"/>
        </w:rPr>
        <w:t xml:space="preserve">[14] C. Manning and H. Schutze, Foundations of Statistical Natural Language Processing. MIT Press, 1999.</w:t>
      </w:r>
    </w:p>
    <w:p>
      <w:pPr>
        <w:spacing w:before="0" w:after="60"/>
        <w:jc w:val="left"/>
      </w:pPr>
      <w:r>
        <w:rPr>
          <w:rFonts w:ascii="Times New Roman" w:cs="Times New Roman" w:eastAsia="Times New Roman" w:hAnsi="Times New Roman"/>
          <w:sz w:val="18"/>
          <w:szCs w:val="18"/>
        </w:rPr>
        <w:t xml:space="preserve">[15] World Economic Forum, "Future of Jobs Report 2023," WEF, Geneva, 2023.</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978-1-XXXX-XXXX-X/25/$31.00 ©2025 IEEE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2026-03-27T12:15:36.876Z</dcterms:created>
  <dcterms:modified xsi:type="dcterms:W3CDTF">2026-03-27T12:15:36.876Z</dcterms:modified>
</cp:coreProperties>
</file>

<file path=docProps/custom.xml><?xml version="1.0" encoding="utf-8"?>
<Properties xmlns="http://schemas.openxmlformats.org/officeDocument/2006/custom-properties" xmlns:vt="http://schemas.openxmlformats.org/officeDocument/2006/docPropsVTypes"/>
</file>