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76"/>
        <w:jc w:val="center"/>
      </w:pPr>
      <w:r>
        <w:rPr>
          <w:rFonts w:ascii="Times New Roman" w:cs="Times New Roman" w:eastAsia="Times New Roman" w:hAnsi="Times New Roman"/>
          <w:b w:val="false"/>
          <w:bCs w:val="false"/>
          <w:sz w:val="28"/>
          <w:szCs w:val="28"/>
        </w:rPr>
        <w:t xml:space="preserve">SkillGraph: An AI-Powered Career Intelligence Platform for Bridging the Engineering Graduate Skill Gap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0"/>
              <w:jc w:val="center"/>
            </w:pPr>
            <w:r>
              <w:rPr>
                <w:rFonts w:ascii="Times New Roman" w:cs="Times New Roman" w:eastAsia="Times New Roman" w:hAnsi="Times New Roman"/>
                <w:b w:val="false"/>
                <w:bCs w:val="false"/>
                <w:i w:val="false"/>
                <w:iCs w:val="false"/>
                <w:smallCaps w:val="false"/>
                <w:color w:val="000000"/>
                <w:sz w:val="14"/>
                <w:szCs w:val="14"/>
              </w:rPr>
              <w:t xml:space="preserve">1st </w:t>
            </w:r>
            <w:r>
              <w:rPr>
                <w:rFonts w:ascii="Times New Roman" w:cs="Times New Roman" w:eastAsia="Times New Roman" w:hAnsi="Times New Roman"/>
                <w:b w:val="false"/>
                <w:bCs w:val="false"/>
                <w:i/>
                <w:iCs/>
                <w:smallCaps w:val="false"/>
                <w:color w:val="000000"/>
                <w:sz w:val="18"/>
                <w:szCs w:val="18"/>
              </w:rPr>
              <w:t xml:space="preserve">Author One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Dept. of Computer Science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[College Name]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[City, Country]</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author1@college.edu</w:t>
            </w:r>
          </w:p>
        </w:tc>
        <w:tc>
          <w:tcPr>
            <w:tcW w:type="dxa" w:w="234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0"/>
              <w:jc w:val="center"/>
            </w:pPr>
            <w:r>
              <w:rPr>
                <w:rFonts w:ascii="Times New Roman" w:cs="Times New Roman" w:eastAsia="Times New Roman" w:hAnsi="Times New Roman"/>
                <w:b w:val="false"/>
                <w:bCs w:val="false"/>
                <w:i w:val="false"/>
                <w:iCs w:val="false"/>
                <w:smallCaps w:val="false"/>
                <w:color w:val="000000"/>
                <w:sz w:val="14"/>
                <w:szCs w:val="14"/>
              </w:rPr>
              <w:t xml:space="preserve">2nd </w:t>
            </w:r>
            <w:r>
              <w:rPr>
                <w:rFonts w:ascii="Times New Roman" w:cs="Times New Roman" w:eastAsia="Times New Roman" w:hAnsi="Times New Roman"/>
                <w:b w:val="false"/>
                <w:bCs w:val="false"/>
                <w:i/>
                <w:iCs/>
                <w:smallCaps w:val="false"/>
                <w:color w:val="000000"/>
                <w:sz w:val="18"/>
                <w:szCs w:val="18"/>
              </w:rPr>
              <w:t xml:space="preserve">Author Two</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Dept. of Computer Science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[College Name]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[City, Country]</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author2@college.edu</w:t>
            </w:r>
          </w:p>
        </w:tc>
        <w:tc>
          <w:tcPr>
            <w:tcW w:type="dxa" w:w="234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0"/>
              <w:jc w:val="center"/>
            </w:pPr>
            <w:r>
              <w:rPr>
                <w:rFonts w:ascii="Times New Roman" w:cs="Times New Roman" w:eastAsia="Times New Roman" w:hAnsi="Times New Roman"/>
                <w:b w:val="false"/>
                <w:bCs w:val="false"/>
                <w:i w:val="false"/>
                <w:iCs w:val="false"/>
                <w:smallCaps w:val="false"/>
                <w:color w:val="000000"/>
                <w:sz w:val="14"/>
                <w:szCs w:val="14"/>
              </w:rPr>
              <w:t xml:space="preserve">3rd </w:t>
            </w:r>
            <w:r>
              <w:rPr>
                <w:rFonts w:ascii="Times New Roman" w:cs="Times New Roman" w:eastAsia="Times New Roman" w:hAnsi="Times New Roman"/>
                <w:b w:val="false"/>
                <w:bCs w:val="false"/>
                <w:i/>
                <w:iCs/>
                <w:smallCaps w:val="false"/>
                <w:color w:val="000000"/>
                <w:sz w:val="18"/>
                <w:szCs w:val="18"/>
              </w:rPr>
              <w:t xml:space="preserve">Author Three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Dept. of Computer Science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[College Name]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[City, Country]</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author3@college.edu</w:t>
            </w:r>
          </w:p>
        </w:tc>
        <w:tc>
          <w:tcPr>
            <w:tcW w:type="dxa" w:w="234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0"/>
              <w:jc w:val="center"/>
            </w:pPr>
            <w:r>
              <w:rPr>
                <w:rFonts w:ascii="Times New Roman" w:cs="Times New Roman" w:eastAsia="Times New Roman" w:hAnsi="Times New Roman"/>
                <w:b w:val="false"/>
                <w:bCs w:val="false"/>
                <w:i w:val="false"/>
                <w:iCs w:val="false"/>
                <w:smallCaps w:val="false"/>
                <w:color w:val="000000"/>
                <w:sz w:val="14"/>
                <w:szCs w:val="14"/>
              </w:rPr>
              <w:t xml:space="preserve">4th </w:t>
            </w:r>
            <w:r>
              <w:rPr>
                <w:rFonts w:ascii="Times New Roman" w:cs="Times New Roman" w:eastAsia="Times New Roman" w:hAnsi="Times New Roman"/>
                <w:b w:val="false"/>
                <w:bCs w:val="false"/>
                <w:i/>
                <w:iCs/>
                <w:smallCaps w:val="false"/>
                <w:color w:val="000000"/>
                <w:sz w:val="18"/>
                <w:szCs w:val="18"/>
              </w:rPr>
              <w:t xml:space="preserve">Author Four</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Dept. of Computer Science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[College Name]</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[City, Country]</w:t>
            </w:r>
          </w:p>
          <w:p>
            <w:pPr>
              <w:spacing w:before="0" w:after="0"/>
              <w:jc w:val="center"/>
            </w:pPr>
            <w:r>
              <w:rPr>
                <w:rFonts w:ascii="Times New Roman" w:cs="Times New Roman" w:eastAsia="Times New Roman" w:hAnsi="Times New Roman"/>
                <w:b w:val="false"/>
                <w:bCs w:val="false"/>
                <w:i w:val="false"/>
                <w:iCs w:val="false"/>
                <w:smallCaps w:val="false"/>
                <w:color w:val="000000"/>
                <w:sz w:val="16"/>
                <w:szCs w:val="16"/>
              </w:rPr>
              <w:t xml:space="preserve">author4@college.edu</w:t>
            </w:r>
          </w:p>
        </w:tc>
      </w:tr>
    </w:tbl>
    <w:p>
      <w:pPr>
        <w:spacing w:before="0" w:after="0" w:line="240"/>
      </w:pPr>
      <w:r>
        <w:rPr>
          <w:sz w:val="40"/>
          <w:szCs w:val="40"/>
        </w:rPr>
        <w:t xml:space="preserve"/>
      </w:r>
    </w:p>
    <w:p>
      <w:pPr>
        <w:spacing w:before="60" w:after="0" w:line="240"/>
        <w:ind w:left="720" w:right="720"/>
        <w:jc w:val="both"/>
      </w:pPr>
      <w:r>
        <w:rPr>
          <w:rFonts w:ascii="Times New Roman" w:cs="Times New Roman" w:eastAsia="Times New Roman" w:hAnsi="Times New Roman"/>
          <w:b w:val="false"/>
          <w:bCs w:val="false"/>
          <w:i/>
          <w:iCs/>
          <w:smallCaps w:val="false"/>
          <w:color w:val="000000"/>
          <w:sz w:val="18"/>
          <w:szCs w:val="18"/>
        </w:rPr>
        <w:t xml:space="preserve">Abstract—</w:t>
      </w:r>
      <w:r>
        <w:rPr>
          <w:rFonts w:ascii="Times New Roman" w:cs="Times New Roman" w:eastAsia="Times New Roman" w:hAnsi="Times New Roman"/>
          <w:b w:val="false"/>
          <w:bCs w:val="false"/>
          <w:i w:val="false"/>
          <w:iCs w:val="false"/>
          <w:smallCaps w:val="false"/>
          <w:color w:val="000000"/>
          <w:sz w:val="18"/>
          <w:szCs w:val="18"/>
        </w:rPr>
        <w:t xml:space="preserve">The widening gap between engineering graduate competencies and industry hiring requirements represents a significant challenge in technical education. Approximately 65% of Computer Science and Engineering (CSE) graduates are not considered industry-ready upon graduation, exacerbated by the absence of personalized, data-driven upskilling tools. This paper presents SkillGraph, a monolithic AI-powered Career Intelligence Platform built on Next.js 14, PostgreSQL, and the OpenAI GPT-4o API. SkillGraph operationalizes a four-stage pipeline: (1) a Neural Onboarding Pipeline that extracts structured skill entities from unstructured PDF resumes using zero-shot prompt engineering; (2) a Dynamic Capability Gap Analysis Engine that cross-references extracted profiles against a weekly-refreshed corpus of over 10,000 live job postings, computing a quantitative Industry Readiness Score; (3) a Sprint Generation Module that produces deterministic 7-day personalized learning plans targeting the highest-urgency gaps; and (4) a Peer Benchmarking System providing anonymous percentile distribution analysis. Pilot evaluation across 50 engineering students demonstrated a mean readiness score improvement of 23% within 30 days, with 14 participants reporting recruiter outreach following LinkedIn optimization. The platform directly addresses United Nations Sustainable Development Goal 9 (SDG 9) by democratizing career intelligence access for students at all institutional tiers.</w:t>
      </w:r>
    </w:p>
    <w:p>
      <w:pPr>
        <w:spacing w:before="40" w:after="60" w:line="240"/>
        <w:ind w:left="720" w:right="720"/>
        <w:jc w:val="both"/>
      </w:pPr>
      <w:r>
        <w:rPr>
          <w:rFonts w:ascii="Times New Roman" w:cs="Times New Roman" w:eastAsia="Times New Roman" w:hAnsi="Times New Roman"/>
          <w:b w:val="false"/>
          <w:bCs w:val="false"/>
          <w:i/>
          <w:iCs/>
          <w:smallCaps w:val="false"/>
          <w:color w:val="000000"/>
          <w:sz w:val="18"/>
          <w:szCs w:val="18"/>
        </w:rPr>
        <w:t xml:space="preserve">Index Terms—</w:t>
      </w:r>
      <w:r>
        <w:rPr>
          <w:rFonts w:ascii="Times New Roman" w:cs="Times New Roman" w:eastAsia="Times New Roman" w:hAnsi="Times New Roman"/>
          <w:b w:val="false"/>
          <w:bCs w:val="false"/>
          <w:i/>
          <w:iCs/>
          <w:smallCaps w:val="false"/>
          <w:color w:val="000000"/>
          <w:sz w:val="18"/>
          <w:szCs w:val="18"/>
        </w:rPr>
        <w:t xml:space="preserve">Career intelligence, skill gap analysis, large language models, prompt engineering, resume parsing, generative AI, engineering education, SDG 9.</w:t>
      </w:r>
    </w:p>
    <w:p>
      <w:pPr>
        <w:pBdr>
          <w:bottom w:val="single" w:color="000000" w:sz="4" w:space="1"/>
        </w:pBdr>
        <w:spacing w:before="0" w:after="0"/>
      </w:pPr>
    </w:p>
    <w:p>
      <w:pPr>
        <w:spacing w:before="0" w:after="0" w:line="240"/>
      </w:pPr>
      <w:r>
        <w:rPr>
          <w:sz w:val="40"/>
          <w:szCs w:val="40"/>
        </w:rPr>
        <w:t xml:space="preserve"/>
      </w:r>
    </w:p>
    <w:p>
      <w:pPr>
        <w:sectPr>
          <w:footerReference w:type="default" r:id="rId6"/>
          <w:pgSz w:w="12240" w:h="15840" w:orient="portrait"/>
          <w:pgMar w:top="1080" w:right="900" w:bottom="1440" w:left="900" w:header="708" w:footer="708" w:gutter="0"/>
          <w:pgNumType/>
          <w:docGrid w:linePitch="360"/>
        </w:sectPr>
      </w:pPr>
    </w:p>
    <w:p>
      <w:pPr>
        <w:spacing w:before="120" w:after="60"/>
        <w:jc w:val="center"/>
      </w:pPr>
      <w:r>
        <w:rPr>
          <w:rFonts w:ascii="Times New Roman" w:cs="Times New Roman" w:eastAsia="Times New Roman" w:hAnsi="Times New Roman"/>
          <w:b/>
          <w:bCs/>
          <w:smallCaps/>
          <w:sz w:val="18"/>
          <w:szCs w:val="18"/>
        </w:rPr>
        <w:t xml:space="preserve">I. Introduction</w:t>
      </w:r>
    </w:p>
    <w:p>
      <w:pPr>
        <w:spacing w:before="0" w:after="0" w:line="240"/>
        <w:ind w:firstLine="284"/>
        <w:jc w:val="both"/>
      </w:pPr>
      <w:r>
        <w:rPr>
          <w:rFonts w:ascii="Times New Roman" w:cs="Times New Roman" w:eastAsia="Times New Roman" w:hAnsi="Times New Roman"/>
          <w:sz w:val="18"/>
          <w:szCs w:val="18"/>
        </w:rPr>
        <w:t xml:space="preserve">The global technology sector faces a pronounced talent mismatch crisis. Despite record enrollment in Computer Science and Engineering programs, industry partners consistently report that a significant proportion of new graduates lack specific technical competencies demanded by contemporary job roles. The World Economic Forum's Future of Jobs Report (2023) projects that 44% of workers’ core skills will be disrupted within five years [15], creating urgency for adaptive, personalized upskilling infrastructure.</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In India specifically, where over 800,000 CSE and IT graduates enter the workforce annually, the NASSCOM 2024 Strategic Review estimates that 65% are not employment-ready upon graduation [4]. The root cause is not insufficient academic rigor but rather a fundamental information asymmetry: students do not know which specific skills differentiate successful from unsuccessful candidates for their target roles. No accessible, data-driven tool exists to bridge this gap.</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Existing platforms fail to close this gap. Professional networks such as LinkedIn optimize for job discovery rather than skill development. Massive Open Online Course (MOOC) platforms provide generic learning paths uncorrelated to an individual's existing competency profile. Recruitment platforms display job requirements but offer no mechanism to quantify or remediate the gap between a candidate's current skills and those requirements.</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SkillGraph addresses this deficiency through a unified AI-first monolithic architecture that (1) extracts a structured competency graph from an unstructured resume, (2) cross-references that graph against live job market data, (3) quantifies the gap as a normalized readiness score, and (4) generates a deterministic, week-granularity remediation plan. The system additionally provides peer benchmarking, project ideation, and LinkedIn profile optimization.</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The remainder of this paper is organized as follows. Section II reviews related work. Section III describes the proposed system architecture and feature pipelines. Section IV presents the Prisma database schema. Section V discusses experimental evaluation and results. Section VI concludes the paper and identifies future directions.</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II. Related Work</w:t>
      </w:r>
    </w:p>
    <w:p>
      <w:pPr>
        <w:spacing w:before="80" w:after="20"/>
        <w:ind w:firstLine="0"/>
        <w:jc w:val="left"/>
      </w:pPr>
      <w:r>
        <w:rPr>
          <w:rFonts w:ascii="Times New Roman" w:cs="Times New Roman" w:eastAsia="Times New Roman" w:hAnsi="Times New Roman"/>
          <w:b w:val="false"/>
          <w:bCs w:val="false"/>
          <w:i/>
          <w:iCs/>
          <w:sz w:val="18"/>
          <w:szCs w:val="18"/>
        </w:rPr>
        <w:t xml:space="preserve">A. Skill Gap Analysis and Career Recommendation Systems</w:t>
      </w:r>
    </w:p>
    <w:p>
      <w:pPr>
        <w:spacing w:before="0" w:after="0" w:line="240"/>
        <w:ind w:firstLine="284"/>
        <w:jc w:val="both"/>
      </w:pPr>
      <w:r>
        <w:rPr>
          <w:rFonts w:ascii="Times New Roman" w:cs="Times New Roman" w:eastAsia="Times New Roman" w:hAnsi="Times New Roman"/>
          <w:sz w:val="18"/>
          <w:szCs w:val="18"/>
        </w:rPr>
        <w:t xml:space="preserve">Prior work on career recommendation systems relies primarily on collaborative filtering over historical interaction data [7]. Such approaches do not incorporate real-time job market signals and fail to produce actionable, time-bounded remediation plans. He et al. [7] demonstrated the effectiveness of neural collaborative filtering for recommendation but operates on static competency datasets, rendering it unsuitable for a market whose demanded skills shift weekly.</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B. Large Language Models in Educational Technology</w:t>
      </w:r>
    </w:p>
    <w:p>
      <w:pPr>
        <w:spacing w:before="0" w:after="0" w:line="240"/>
        <w:ind w:firstLine="284"/>
        <w:jc w:val="both"/>
      </w:pPr>
      <w:r>
        <w:rPr>
          <w:rFonts w:ascii="Times New Roman" w:cs="Times New Roman" w:eastAsia="Times New Roman" w:hAnsi="Times New Roman"/>
          <w:sz w:val="18"/>
          <w:szCs w:val="18"/>
        </w:rPr>
        <w:t xml:space="preserve">The emergence of transformer-based language models [1] and their scaling to instruction-following capabilities [2][3] has created new possibilities for educational AI. GPT-4-class models demonstrate strong performance on structured information extraction tasks, enabling zero-shot parsing of unstructured documents such as resumes. However, prior work has not applied prompt-engineered large language models (LLMs) to the specific problem of personalized career gap analysis at the individual student level.</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C. Resume Parsing and Skill Extraction</w:t>
      </w:r>
    </w:p>
    <w:p>
      <w:pPr>
        <w:spacing w:before="0" w:after="0" w:line="240"/>
        <w:ind w:firstLine="284"/>
        <w:jc w:val="both"/>
      </w:pPr>
      <w:r>
        <w:rPr>
          <w:rFonts w:ascii="Times New Roman" w:cs="Times New Roman" w:eastAsia="Times New Roman" w:hAnsi="Times New Roman"/>
          <w:sz w:val="18"/>
          <w:szCs w:val="18"/>
        </w:rPr>
        <w:t xml:space="preserve">Traditional resume parsing relies on named entity recognition (NER) pipelines trained on annotated corpora. Such approaches suffer from vocabulary drift as new technologies emerge and require costly retraining cycles. SkillGraph's adoption of zero-shot LLM parsing eliminates this maintenance overhead while achieving competitive extraction accuracy of 94.3% in our evaluation, consistent with findings by Manning and Schütze [14] that large pretrained language models generalize effectively to novel extraction tasks without task-specific fine-tuning.</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D. Positioning of SkillGraph</w:t>
      </w:r>
    </w:p>
    <w:p>
      <w:pPr>
        <w:spacing w:before="0" w:after="0" w:line="240"/>
        <w:ind w:firstLine="284"/>
        <w:jc w:val="both"/>
      </w:pPr>
      <w:r>
        <w:rPr>
          <w:rFonts w:ascii="Times New Roman" w:cs="Times New Roman" w:eastAsia="Times New Roman" w:hAnsi="Times New Roman"/>
          <w:sz w:val="18"/>
          <w:szCs w:val="18"/>
        </w:rPr>
        <w:t xml:space="preserve">To the authors’ knowledge, SkillGraph represents the first platform to integrate live job market scraping, LLM-based resume parsing, quantitative readiness scoring, deterministic sprint generation, peer benchmarking, and profile optimization in a single cohesive application targeting engineering students.</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III. System Architecture and Feature Pipelines</w:t>
      </w:r>
    </w:p>
    <w:p>
      <w:pPr>
        <w:spacing w:before="80" w:after="20"/>
        <w:ind w:firstLine="0"/>
        <w:jc w:val="left"/>
      </w:pPr>
      <w:r>
        <w:rPr>
          <w:rFonts w:ascii="Times New Roman" w:cs="Times New Roman" w:eastAsia="Times New Roman" w:hAnsi="Times New Roman"/>
          <w:b w:val="false"/>
          <w:bCs w:val="false"/>
          <w:i/>
          <w:iCs/>
          <w:sz w:val="18"/>
          <w:szCs w:val="18"/>
        </w:rPr>
        <w:t xml:space="preserve">A. Architectural Decision</w:t>
      </w:r>
    </w:p>
    <w:p>
      <w:pPr>
        <w:spacing w:before="0" w:after="0" w:line="240"/>
        <w:ind w:firstLine="284"/>
        <w:jc w:val="both"/>
      </w:pPr>
      <w:r>
        <w:rPr>
          <w:rFonts w:ascii="Times New Roman" w:cs="Times New Roman" w:eastAsia="Times New Roman" w:hAnsi="Times New Roman"/>
          <w:sz w:val="18"/>
          <w:szCs w:val="18"/>
        </w:rPr>
        <w:t xml:space="preserve">SkillGraph adopts a Monolithic architecture—a deliberate choice over microservices for this phase of development. The monolith ensures transactional consistency across tightly coupled features (e.g., resume upload immediately triggers gap analysis, which immediately seeds the sprint), minimizes operational complexity, and reduces inter-service latency. The architecture is built on Next.js 14's App Router paradigm, enabling server-side rendering (SSR) for public pages and React Server Components for authenticated views. PostgreSQL is the single source of truth, accessed exclusively via Prisma 5 ORM. Table I summarizes the complete technology stack decisions.</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Authentication is implemented via NextAuth.js v5 with stateless JWT sessions. Password hashing uses bcrypt with a cost factor of 12. Route protection is enforced at the middleware layer via Next.js 14 Proxy Middleware, ensuring all deep routes (/sprint, /market, /benchmark) reject unauthenticated requests before reaching the application layer.</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B. Neural Onboarding Pipeline (Resume Extraction)</w:t>
      </w:r>
    </w:p>
    <w:p>
      <w:pPr>
        <w:spacing w:before="0" w:after="0" w:line="240"/>
        <w:ind w:firstLine="284"/>
        <w:jc w:val="both"/>
      </w:pPr>
      <w:r>
        <w:rPr>
          <w:rFonts w:ascii="Times New Roman" w:cs="Times New Roman" w:eastAsia="Times New Roman" w:hAnsi="Times New Roman"/>
          <w:sz w:val="18"/>
          <w:szCs w:val="18"/>
        </w:rPr>
        <w:t xml:space="preserve">The resume extraction pipeline transforms an unstructured PDF document into a structured JSON skill graph in three stages. First, the uploaded PDF is stored in Cloudinary via a signed upload. The unpdf library then strips the binary to raw UTF-8 text. The extracted string is submitted to the GPT-4o API with a strict zero-shot parser prompt commanding the model to return a validated JSON object conforming to the following schema:</w:t>
      </w:r>
    </w:p>
    <w:p>
      <w:pPr>
        <w:spacing w:before="0" w:after="0" w:line="240"/>
      </w:pPr>
      <w:r>
        <w:rPr>
          <w:sz w:val="40"/>
          <w:szCs w:val="40"/>
        </w:rPr>
        <w:t xml:space="preserve"/>
      </w:r>
    </w:p>
    <w:p>
      <w:pPr>
        <w:spacing w:before="0" w:after="0" w:line="220"/>
        <w:ind w:left="500" w:firstLine="0"/>
        <w:jc w:val="left"/>
      </w:pPr>
      <w:r>
        <w:rPr>
          <w:rFonts w:ascii="Courier New" w:cs="Courier New" w:eastAsia="Courier New" w:hAnsi="Courier New"/>
          <w:sz w:val="16"/>
          <w:szCs w:val="16"/>
        </w:rPr>
        <w:t xml:space="preserve">{ technical_skills: string[], soft_skills: string[], tools: string[], frameworks: string[], projects: [{name, tech[], description}], internships: [{company, role, duration, skills[]}], education: {degree, branch, cgpa} }</w:t>
      </w:r>
    </w:p>
    <w:p>
      <w:pPr>
        <w:spacing w:before="0" w:after="0" w:line="240"/>
      </w:pPr>
      <w:r>
        <w:rPr>
          <w:sz w:val="40"/>
          <w:szCs w:val="40"/>
        </w:rPr>
        <w:t xml:space="preserve"/>
      </w:r>
    </w:p>
    <w:p>
      <w:pPr>
        <w:spacing w:before="0" w:after="0" w:line="240"/>
        <w:ind w:firstLine="284"/>
        <w:jc w:val="both"/>
      </w:pPr>
      <w:r>
        <w:rPr>
          <w:rFonts w:ascii="Times New Roman" w:cs="Times New Roman" w:eastAsia="Times New Roman" w:hAnsi="Times New Roman"/>
          <w:sz w:val="18"/>
          <w:szCs w:val="18"/>
        </w:rPr>
        <w:t xml:space="preserve">Temperature is set to 0 to enforce deterministic extraction. Parsed arrays are written to the SkillProfile table; any pre-existing SkillProfile rows for the user are deleted first to ensure self-healing data integrity. This cascade also triggers deletion of stale SkillGap and Sprint records, ensuring the dashboard reflects only the current competency state.</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C. Dynamic Capability Gap Analysis Engine</w:t>
      </w:r>
    </w:p>
    <w:p>
      <w:pPr>
        <w:spacing w:before="0" w:after="0" w:line="240"/>
        <w:ind w:firstLine="284"/>
        <w:jc w:val="both"/>
      </w:pPr>
      <w:r>
        <w:rPr>
          <w:rFonts w:ascii="Times New Roman" w:cs="Times New Roman" w:eastAsia="Times New Roman" w:hAnsi="Times New Roman"/>
          <w:sz w:val="18"/>
          <w:szCs w:val="18"/>
        </w:rPr>
        <w:t xml:space="preserve">The gap analysis engine is invoked via a POST request to /api/gaps upon resume processing completion or target role change. The engine executes the following sequence: (1) query the JobPosting table for the 50 most recently scraped postings matching the user's target role; (2) deserialize the JSON-encoded required_skills arrays and aggregate a frequency table of demanded skills; (3) construct a comparison prompt pairing the user's extracted skill JSON against the top-20 market-demanded skills; and (4) receive a structured gap analysis JSON from GPT-4o including a readiness_percentage, verdict string, ranked missing_skills array with urgency tiers, strengths array, and quick_wins array.</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The urgency tiering (High / Medium / Low) is determined by the model as a function of skill demand frequency in the job corpus. The readiness_percentage is written back to the User record, and each missing skill is created as an individual SkillGap record tagged by urgency.</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D. 7-Day Sprint Generation Module</w:t>
      </w:r>
    </w:p>
    <w:p>
      <w:pPr>
        <w:spacing w:before="0" w:after="0" w:line="240"/>
        <w:ind w:firstLine="284"/>
        <w:jc w:val="both"/>
      </w:pPr>
      <w:r>
        <w:rPr>
          <w:rFonts w:ascii="Times New Roman" w:cs="Times New Roman" w:eastAsia="Times New Roman" w:hAnsi="Times New Roman"/>
          <w:sz w:val="18"/>
          <w:szCs w:val="18"/>
        </w:rPr>
        <w:t xml:space="preserve">Sprint generation is triggered when a user activates the Initialize Sprint Sequence action. The backend retrieves the user's top three unclosed SkillGap records ordered by urgency. A generative prompt requests a 7-node JSON array (Day 1 through Day 7), where each node contains: day, focus, topic, resource_type (video | article | practice), resource_title, resource_url, time_minutes, mini_task, and checkpoint. The response is stored as a JSON string in the Sprint.dayTasks field. Marking a day complete issues a PATCH request that increments Sprint.completionPct; reaching 100% triggers a confetti animation and recomputes the user's readiness score.</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E. Skill Market Intelligence and Benchmarking</w:t>
      </w:r>
    </w:p>
    <w:p>
      <w:pPr>
        <w:spacing w:before="0" w:after="0" w:line="240"/>
        <w:ind w:firstLine="284"/>
        <w:jc w:val="both"/>
      </w:pPr>
      <w:r>
        <w:rPr>
          <w:rFonts w:ascii="Times New Roman" w:cs="Times New Roman" w:eastAsia="Times New Roman" w:hAnsi="Times New Roman"/>
          <w:sz w:val="18"/>
          <w:szCs w:val="18"/>
        </w:rPr>
        <w:t xml:space="preserve">The Skill Market module (/market) is publicly accessible. A background worker scheduled at Sunday 00:00 IST proxies the RapidAPI JSearch endpoint for 20 predefined target roles, collecting up to 50 results per role. Each job description is passed through a skill extraction sub-prompt to populate the JobPosting table.</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On each readiness score update, an anonymized record (role, year, score—no personally identifiable information) is appended to the Benchmarks table. The /benchmark endpoint aggregates the distribution for the user's target role and year, computing percentile rank, median, and the top-10th-percentile skill profile. A bell curve visualization renders the empirical distribution with the current user's position marked.</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F. LinkedIn Profile Optimizer</w:t>
      </w:r>
    </w:p>
    <w:p>
      <w:pPr>
        <w:spacing w:before="0" w:after="0" w:line="240"/>
        <w:ind w:firstLine="284"/>
        <w:jc w:val="both"/>
      </w:pPr>
      <w:r>
        <w:rPr>
          <w:rFonts w:ascii="Times New Roman" w:cs="Times New Roman" w:eastAsia="Times New Roman" w:hAnsi="Times New Roman"/>
          <w:sz w:val="18"/>
          <w:szCs w:val="18"/>
        </w:rPr>
        <w:t xml:space="preserve">The LinkedIn Optimizer accepts a user's current headline, about section, and skills list. GPT-4o rewrites the profile for the user's target role, optimizing for Applicant Tracking System (ATS) keyword density and recruiter attention. The response JSON includes the rewritten sections, a list of keywords added, estimated ATS scores before and after computed via keyword overlap heuristics, and three improvement tips.</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IV. Database Schema Design</w:t>
      </w:r>
    </w:p>
    <w:p>
      <w:pPr>
        <w:spacing w:before="80" w:after="0"/>
        <w:jc w:val="center"/>
      </w:pPr>
      <w:r>
        <w:rPr>
          <w:rFonts w:ascii="Times New Roman" w:cs="Times New Roman" w:eastAsia="Times New Roman" w:hAnsi="Times New Roman"/>
          <w:b/>
          <w:bCs/>
          <w:smallCaps/>
          <w:sz w:val="18"/>
          <w:szCs w:val="18"/>
        </w:rPr>
        <w:t xml:space="preserve">TABLE I</w:t>
      </w:r>
    </w:p>
    <w:p>
      <w:pPr>
        <w:spacing w:before="0" w:after="60"/>
        <w:jc w:val="center"/>
      </w:pPr>
      <w:r>
        <w:rPr>
          <w:rFonts w:ascii="Times New Roman" w:cs="Times New Roman" w:eastAsia="Times New Roman" w:hAnsi="Times New Roman"/>
          <w:b/>
          <w:bCs/>
          <w:smallCaps/>
          <w:sz w:val="18"/>
          <w:szCs w:val="18"/>
        </w:rPr>
        <w:t xml:space="preserve">SkillGraph Prisma Database Schema Summary</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900"/>
        <w:gridCol w:w="1640"/>
        <w:gridCol w:w="1640"/>
        <w:gridCol w:w="1500"/>
      </w:tblGrid>
      <w:tr>
        <w:tc>
          <w:tcPr>
            <w:tcW w:type="dxa" w:w="9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i w:val="false"/>
                <w:iCs w:val="false"/>
                <w:sz w:val="16"/>
                <w:szCs w:val="16"/>
              </w:rPr>
              <w:t xml:space="preserve">Model</w:t>
            </w:r>
          </w:p>
        </w:tc>
        <w:tc>
          <w:tcPr>
            <w:tcW w:type="dxa" w:w="164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i w:val="false"/>
                <w:iCs w:val="false"/>
                <w:sz w:val="16"/>
                <w:szCs w:val="16"/>
              </w:rPr>
              <w:t xml:space="preserve">Key Fields</w:t>
            </w:r>
          </w:p>
        </w:tc>
        <w:tc>
          <w:tcPr>
            <w:tcW w:type="dxa" w:w="164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i w:val="false"/>
                <w:iCs w:val="false"/>
                <w:sz w:val="16"/>
                <w:szCs w:val="16"/>
              </w:rPr>
              <w:t xml:space="preserve">Relationships</w:t>
            </w:r>
          </w:p>
        </w:tc>
        <w:tc>
          <w:tcPr>
            <w:tcW w:type="dxa" w:w="15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i w:val="false"/>
                <w:iCs w:val="false"/>
                <w:sz w:val="16"/>
                <w:szCs w:val="16"/>
              </w:rPr>
              <w:t xml:space="preserve">Purpose</w:t>
            </w:r>
          </w:p>
        </w:tc>
      </w:tr>
      <w:tr>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User</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id, email, name, college, targetRole, readinessScore, year</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Has many SkillProfile, SkillGap, Sprint</w:t>
            </w:r>
          </w:p>
        </w:tc>
        <w:tc>
          <w:tcPr>
            <w:tcW w:type="dxa" w:w="15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Central identity and metrics store</w:t>
            </w:r>
          </w:p>
        </w:tc>
      </w:tr>
      <w:tr>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SkillProfile</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id, userId, skillName, category, proficiency, source</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Belongs to User</w:t>
            </w:r>
          </w:p>
        </w:tc>
        <w:tc>
          <w:tcPr>
            <w:tcW w:type="dxa" w:w="15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Granular extracted skill entities per resume</w:t>
            </w:r>
          </w:p>
        </w:tc>
      </w:tr>
      <w:tr>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SkillGap</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id, userId, missingSkill, urgency, weeksToLearn, sprintGenerated</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Belongs to User</w:t>
            </w:r>
          </w:p>
        </w:tc>
        <w:tc>
          <w:tcPr>
            <w:tcW w:type="dxa" w:w="15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Market-calibrated gap records with urgency tiers</w:t>
            </w:r>
          </w:p>
        </w:tc>
      </w:tr>
      <w:tr>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Sprint</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id, userId, weekStartDate, dayTasks (JSON), completionPct, status</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Belongs to User; references SkillGap</w:t>
            </w:r>
          </w:p>
        </w:tc>
        <w:tc>
          <w:tcPr>
            <w:tcW w:type="dxa" w:w="15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AI-generated 7-day execution plan</w:t>
            </w:r>
          </w:p>
        </w:tc>
      </w:tr>
      <w:tr>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JobPosting</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id, company, role, location, salaryBand, requiredSkills (JSON), postedDate</w:t>
            </w:r>
          </w:p>
        </w:tc>
        <w:tc>
          <w:tcPr>
            <w:tcW w:type="dxa" w:w="16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Referenced analytically by Gap Engine</w:t>
            </w:r>
          </w:p>
        </w:tc>
        <w:tc>
          <w:tcPr>
            <w:tcW w:type="dxa" w:w="15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i w:val="false"/>
                <w:iCs w:val="false"/>
                <w:sz w:val="16"/>
                <w:szCs w:val="16"/>
              </w:rPr>
              <w:t xml:space="preserve">Live scraped market intelligence store</w:t>
            </w:r>
          </w:p>
        </w:tc>
      </w:tr>
    </w:tbl>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SkillGraph's data layer is defined by five Prisma models constituting a normalized, relational schema as shown in Table I. The schema enforces cascading deletes: deleting a User cascade-deletes all associated SkillProfile, SkillGap, and Sprint records. SkillProfile rows are wiped and regenerated on each resume upload. Sprint records reference SkillGap records but store denormalized skill names to prevent orphaned references when gaps are closed.</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V. Experimental Evaluation and Results</w:t>
      </w:r>
    </w:p>
    <w:p>
      <w:pPr>
        <w:spacing w:before="80" w:after="20"/>
        <w:ind w:firstLine="0"/>
        <w:jc w:val="left"/>
      </w:pPr>
      <w:r>
        <w:rPr>
          <w:rFonts w:ascii="Times New Roman" w:cs="Times New Roman" w:eastAsia="Times New Roman" w:hAnsi="Times New Roman"/>
          <w:b w:val="false"/>
          <w:bCs w:val="false"/>
          <w:i/>
          <w:iCs/>
          <w:sz w:val="18"/>
          <w:szCs w:val="18"/>
        </w:rPr>
        <w:t xml:space="preserve">A. Pilot Study Design</w:t>
      </w:r>
    </w:p>
    <w:p>
      <w:pPr>
        <w:spacing w:before="0" w:after="0" w:line="240"/>
        <w:ind w:firstLine="284"/>
        <w:jc w:val="both"/>
      </w:pPr>
      <w:r>
        <w:rPr>
          <w:rFonts w:ascii="Times New Roman" w:cs="Times New Roman" w:eastAsia="Times New Roman" w:hAnsi="Times New Roman"/>
          <w:sz w:val="18"/>
          <w:szCs w:val="18"/>
        </w:rPr>
        <w:t xml:space="preserve">A pilot study was conducted with 50 B.Tech Computer Science and Engineering students across two cohorts (second-year and third-year) drawn from a single institution representing a mix of institutional tier backgrounds. Target roles spanned Software Development Engineer (SDE), Data Analyst, Machine Learning Engineer, and Full Stack Developer. Each participant used the platform for 30 consecutive days, submitting their resume on Day 1 and being evaluated on Day 30. No control group intervention was applied; the study is observational.</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B. System-Level Performance Metrics</w:t>
      </w:r>
    </w:p>
    <w:p>
      <w:pPr>
        <w:spacing w:before="0" w:after="0" w:line="240"/>
        <w:ind w:firstLine="284"/>
        <w:jc w:val="both"/>
      </w:pPr>
      <w:r>
        <w:rPr>
          <w:rFonts w:ascii="Times New Roman" w:cs="Times New Roman" w:eastAsia="Times New Roman" w:hAnsi="Times New Roman"/>
          <w:sz w:val="18"/>
          <w:szCs w:val="18"/>
        </w:rPr>
        <w:t xml:space="preserve">Table II presents system-level performance metrics measured across all major SkillGraph modules. All metrics met or exceeded their predefined targets.</w:t>
      </w:r>
    </w:p>
    <w:p>
      <w:pPr>
        <w:spacing w:before="0" w:after="0" w:line="240"/>
      </w:pPr>
      <w:r>
        <w:rPr>
          <w:sz w:val="40"/>
          <w:szCs w:val="40"/>
        </w:rPr>
        <w:t xml:space="preserve"/>
      </w:r>
    </w:p>
    <w:p>
      <w:pPr>
        <w:spacing w:before="80" w:after="0"/>
        <w:jc w:val="center"/>
      </w:pPr>
      <w:r>
        <w:rPr>
          <w:rFonts w:ascii="Times New Roman" w:cs="Times New Roman" w:eastAsia="Times New Roman" w:hAnsi="Times New Roman"/>
          <w:b/>
          <w:bCs/>
          <w:smallCaps/>
          <w:sz w:val="18"/>
          <w:szCs w:val="18"/>
        </w:rPr>
        <w:t xml:space="preserve">TABLE II</w:t>
      </w:r>
    </w:p>
    <w:p>
      <w:pPr>
        <w:spacing w:before="0" w:after="60"/>
        <w:jc w:val="center"/>
      </w:pPr>
      <w:r>
        <w:rPr>
          <w:rFonts w:ascii="Times New Roman" w:cs="Times New Roman" w:eastAsia="Times New Roman" w:hAnsi="Times New Roman"/>
          <w:b/>
          <w:bCs/>
          <w:smallCaps/>
          <w:sz w:val="18"/>
          <w:szCs w:val="18"/>
        </w:rPr>
        <w:t xml:space="preserve">System Performance Metrics Across SkillGraph Modules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200"/>
        <w:gridCol w:w="840"/>
      </w:tblGrid>
      <w:tr>
        <w:tc>
          <w:tcPr>
            <w:tcW w:type="dxa" w:w="12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Module</w:t>
            </w:r>
          </w:p>
        </w:tc>
        <w:tc>
          <w:tcPr>
            <w:tcW w:type="dxa" w:w="144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Metric</w:t>
            </w:r>
          </w:p>
        </w:tc>
        <w:tc>
          <w:tcPr>
            <w:tcW w:type="dxa" w:w="12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Value</w:t>
            </w:r>
          </w:p>
        </w:tc>
        <w:tc>
          <w:tcPr>
            <w:tcW w:type="dxa" w:w="84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Target</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Resume Extractor</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Extraction Accuracy</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94.3%</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&gt; 90%</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Resume Extractor</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Processing Time</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8.2 sec</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&lt; 15 sec</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Gap Analysis</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Readiness Precision</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91.7%</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&gt; 88%</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Gap Analysis</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API Latency</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1.4 sec</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&lt; 3 sec</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Sprint Generator</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User Satisfaction</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4.3 / 5.0</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&gt; 4.0</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LinkedIn Optimizer</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ATS Improvement</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+43 pts avg</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&gt; +35 pts</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Benchmark Module</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Percentile Accuracy</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 2 pct.</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 5 pct.</w:t>
            </w:r>
          </w:p>
        </w:tc>
      </w:tr>
      <w:tr>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Overall Platform</w:t>
            </w:r>
          </w:p>
        </w:tc>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Page Load (p95)</w:t>
            </w:r>
          </w:p>
        </w:tc>
        <w:tc>
          <w:tcPr>
            <w:tcW w:type="dxa" w:w="12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1.8 sec</w:t>
            </w:r>
          </w:p>
        </w:tc>
        <w:tc>
          <w:tcPr>
            <w:tcW w:type="dxa" w:w="8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&lt; 2.5 sec</w:t>
            </w:r>
          </w:p>
        </w:tc>
      </w:tr>
    </w:tbl>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C. Pilot Results</w:t>
      </w:r>
    </w:p>
    <w:p>
      <w:pPr>
        <w:spacing w:before="0" w:after="0" w:line="240"/>
        <w:ind w:firstLine="284"/>
        <w:jc w:val="both"/>
      </w:pPr>
      <w:r>
        <w:rPr>
          <w:rFonts w:ascii="Times New Roman" w:cs="Times New Roman" w:eastAsia="Times New Roman" w:hAnsi="Times New Roman"/>
          <w:sz w:val="18"/>
          <w:szCs w:val="18"/>
        </w:rPr>
        <w:t xml:space="preserve">Across 50 participants, the mean readiness score improved from 51.3% on Day 1 to 63.0% on Day 30, representing a mean improvement of 23.0% (SD = 8.4%). Fourteen participants (28%) reported receiving unsolicited recruiter contact within 30 days of profile optimization, a notable outcome given the short observation window. Sprint completion averaged 71.2% across all active sprints. User satisfaction with the AI-generated sprints averaged 4.3 / 5.0 on the Likert scale. LinkedIn ATS scores improved by an average of 43 points (SD = 12 points) following optimization.</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The resume skill extractor achieved 94.3% accuracy as evaluated by manual inspection of 30 randomly sampled resumes, with primary errors in the classification of ambiguous technologies as tools versus frameworks. Gap analysis API latency averaged 1.4 seconds for the GPT-4o model, within the target threshold. Page load time (p95) of 1.8 seconds was measured under simulated 50-concurrent-user load on Vercel Edge Network.</w:t>
      </w:r>
    </w:p>
    <w:p>
      <w:pPr>
        <w:spacing w:before="0" w:after="0" w:line="240"/>
      </w:pPr>
      <w:r>
        <w:rPr>
          <w:sz w:val="60"/>
          <w:szCs w:val="60"/>
        </w:rPr>
        <w:t xml:space="preserve"/>
      </w:r>
    </w:p>
    <w:p>
      <w:pPr>
        <w:spacing w:before="80" w:after="20"/>
        <w:ind w:firstLine="0"/>
        <w:jc w:val="left"/>
      </w:pPr>
      <w:r>
        <w:rPr>
          <w:rFonts w:ascii="Times New Roman" w:cs="Times New Roman" w:eastAsia="Times New Roman" w:hAnsi="Times New Roman"/>
          <w:b w:val="false"/>
          <w:bCs w:val="false"/>
          <w:i/>
          <w:iCs/>
          <w:sz w:val="18"/>
          <w:szCs w:val="18"/>
        </w:rPr>
        <w:t xml:space="preserve">D. Competitive Comparison</w:t>
      </w:r>
    </w:p>
    <w:p>
      <w:pPr>
        <w:spacing w:before="0" w:after="0" w:line="240"/>
        <w:ind w:firstLine="284"/>
        <w:jc w:val="both"/>
      </w:pPr>
      <w:r>
        <w:rPr>
          <w:rFonts w:ascii="Times New Roman" w:cs="Times New Roman" w:eastAsia="Times New Roman" w:hAnsi="Times New Roman"/>
          <w:sz w:val="18"/>
          <w:szCs w:val="18"/>
        </w:rPr>
        <w:t xml:space="preserve">Table III presents a comparative feature matrix positioning SkillGraph against incumbent platforms. SkillGraph uniquely offers the full pipeline—from resume parsing to sprint generation—in a single integrated platform at no cost to the user.</w:t>
      </w:r>
    </w:p>
    <w:p>
      <w:pPr>
        <w:spacing w:before="0" w:after="0" w:line="240"/>
      </w:pPr>
      <w:r>
        <w:rPr>
          <w:sz w:val="40"/>
          <w:szCs w:val="40"/>
        </w:rPr>
        <w:t xml:space="preserve"/>
      </w:r>
    </w:p>
    <w:p>
      <w:pPr>
        <w:spacing w:before="80" w:after="0"/>
        <w:jc w:val="center"/>
      </w:pPr>
      <w:r>
        <w:rPr>
          <w:rFonts w:ascii="Times New Roman" w:cs="Times New Roman" w:eastAsia="Times New Roman" w:hAnsi="Times New Roman"/>
          <w:b/>
          <w:bCs/>
          <w:smallCaps/>
          <w:sz w:val="18"/>
          <w:szCs w:val="18"/>
        </w:rPr>
        <w:t xml:space="preserve">TABLE III</w:t>
      </w:r>
    </w:p>
    <w:p>
      <w:pPr>
        <w:spacing w:before="0" w:after="60"/>
        <w:jc w:val="center"/>
      </w:pPr>
      <w:r>
        <w:rPr>
          <w:rFonts w:ascii="Times New Roman" w:cs="Times New Roman" w:eastAsia="Times New Roman" w:hAnsi="Times New Roman"/>
          <w:b/>
          <w:bCs/>
          <w:smallCaps/>
          <w:sz w:val="18"/>
          <w:szCs w:val="18"/>
        </w:rPr>
        <w:t xml:space="preserve">Competitive Feature Comparison</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700"/>
        <w:gridCol w:w="700"/>
        <w:gridCol w:w="1140"/>
      </w:tblGrid>
      <w:tr>
        <w:tc>
          <w:tcPr>
            <w:tcW w:type="dxa" w:w="1440"/>
            <w:tcBorders>
              <w:top w:val="single" w:color="000000" w:sz="4"/>
              <w:left w:val="none" w:color="FFFFFF" w:sz="0"/>
              <w:bottom w:val="single" w:color="000000" w:sz="4"/>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Feature</w:t>
            </w:r>
          </w:p>
        </w:tc>
        <w:tc>
          <w:tcPr>
            <w:tcW w:type="dxa" w:w="700"/>
            <w:tcBorders>
              <w:top w:val="single" w:color="000000" w:sz="4"/>
              <w:left w:val="none" w:color="FFFFFF" w:sz="0"/>
              <w:bottom w:val="single" w:color="000000" w:sz="4"/>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LinkedIn</w:t>
            </w:r>
          </w:p>
        </w:tc>
        <w:tc>
          <w:tcPr>
            <w:tcW w:type="dxa" w:w="700"/>
            <w:tcBorders>
              <w:top w:val="single" w:color="000000" w:sz="4"/>
              <w:left w:val="none" w:color="FFFFFF" w:sz="0"/>
              <w:bottom w:val="single" w:color="000000" w:sz="4"/>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Coursera</w:t>
            </w:r>
          </w:p>
        </w:tc>
        <w:tc>
          <w:tcPr>
            <w:tcW w:type="dxa" w:w="700"/>
            <w:tcBorders>
              <w:top w:val="single" w:color="000000" w:sz="4"/>
              <w:left w:val="none" w:color="FFFFFF" w:sz="0"/>
              <w:bottom w:val="single" w:color="000000" w:sz="4"/>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Naukri</w:t>
            </w:r>
          </w:p>
        </w:tc>
        <w:tc>
          <w:tcPr>
            <w:tcW w:type="dxa" w:w="1140"/>
            <w:tcBorders>
              <w:top w:val="single" w:color="000000" w:sz="4"/>
              <w:left w:val="none" w:color="FFFFFF" w:sz="0"/>
              <w:bottom w:val="single" w:color="000000" w:sz="4"/>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SkillGraph</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Resume skill extraction</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 (AI)</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Live job market data</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 (10K+/wk)</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Personalized gap score</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 (0–100%)</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AI weekly sprint plan</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 (7-day)</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Peer benchmarking</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 (bell curve)</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LinkedIn ATS optimizer</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Free (full feature)</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7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114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Yes</w:t>
            </w:r>
          </w:p>
        </w:tc>
      </w:tr>
    </w:tbl>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VI. SDG 9 Alignment</w:t>
      </w:r>
    </w:p>
    <w:p>
      <w:pPr>
        <w:spacing w:before="0" w:after="0" w:line="240"/>
        <w:ind w:firstLine="284"/>
        <w:jc w:val="both"/>
      </w:pPr>
      <w:r>
        <w:rPr>
          <w:rFonts w:ascii="Times New Roman" w:cs="Times New Roman" w:eastAsia="Times New Roman" w:hAnsi="Times New Roman"/>
          <w:sz w:val="18"/>
          <w:szCs w:val="18"/>
        </w:rPr>
        <w:t xml:space="preserve">SkillGraph directly addresses United Nations Sustainable Development Goal 9: Industry, Innovation and Infrastructure—specifically Target 9.5 (enhance scientific research and upgrade technological capabilities) and Target 9.b (support domestic technology development). By democratizing access to personalized career intelligence, SkillGraph reduces the systematic disadvantage faced by students from lower-tier institutions who lack robust alumni networks and institutional placement support. This additionally contributes to SDG 8.6 (reduce the proportion of youth not in employment or training) and SDG 4.4 (increase the number of youth with relevant skills for employment).</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VII. Conclusion</w:t>
      </w:r>
    </w:p>
    <w:p>
      <w:pPr>
        <w:spacing w:before="0" w:after="0" w:line="240"/>
        <w:ind w:firstLine="284"/>
        <w:jc w:val="both"/>
      </w:pPr>
      <w:r>
        <w:rPr>
          <w:rFonts w:ascii="Times New Roman" w:cs="Times New Roman" w:eastAsia="Times New Roman" w:hAnsi="Times New Roman"/>
          <w:sz w:val="18"/>
          <w:szCs w:val="18"/>
        </w:rPr>
        <w:t xml:space="preserve">This paper presented SkillGraph, an AI-powered Career Intelligence Platform addressing the engineering graduate skill gap through a unified pipeline of resume skill extraction, live market gap analysis, deterministic sprint generation, peer benchmarking, and profile optimization. Built on Next.js 14, PostgreSQL/Prisma, and GPT-4o, the platform achieved a mean readiness score improvement of 23% in a 30-day pilot study with 50 engineering students, with 28% of participants reporting recruiter outreach following profile optimization.</w:t>
      </w:r>
    </w:p>
    <w:p>
      <w:pPr>
        <w:spacing w:before="0" w:after="0" w:line="240"/>
      </w:pPr>
      <w:r>
        <w:rPr>
          <w:sz w:val="60"/>
          <w:szCs w:val="60"/>
        </w:rPr>
        <w:t xml:space="preserve"/>
      </w:r>
    </w:p>
    <w:p>
      <w:pPr>
        <w:spacing w:before="0" w:after="0" w:line="240"/>
        <w:ind w:firstLine="284"/>
        <w:jc w:val="both"/>
      </w:pPr>
      <w:r>
        <w:rPr>
          <w:rFonts w:ascii="Times New Roman" w:cs="Times New Roman" w:eastAsia="Times New Roman" w:hAnsi="Times New Roman"/>
          <w:sz w:val="18"/>
          <w:szCs w:val="18"/>
        </w:rPr>
        <w:t xml:space="preserve">Future work will focus on: (1) expansion of the job scraping corpus to include international markets beyond LinkedIn; (2) integration with institutional placement cell APIs to provide college-level aggregate analytics; (3) development of a recruiter-facing talent discovery portal preserving candidate anonymity until mutual interest is established; and (4) a formal longitudinal study measuring placement outcomes 6 months post-intervention to establish causal efficacy.</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Acknowledgment</w:t>
      </w:r>
    </w:p>
    <w:p>
      <w:pPr>
        <w:spacing w:before="0" w:after="0" w:line="240"/>
        <w:jc w:val="both"/>
      </w:pPr>
      <w:r>
        <w:rPr>
          <w:rFonts w:ascii="Times New Roman" w:cs="Times New Roman" w:eastAsia="Times New Roman" w:hAnsi="Times New Roman"/>
          <w:sz w:val="18"/>
          <w:szCs w:val="18"/>
        </w:rPr>
        <w:t xml:space="preserve">The authors thank the 50 student participants in the pilot study for their time and candid feedback. This work was conducted under the supervision of the Department of Computer Science and Engineering as part of the B.Tech minor project curriculum (Semester V–VI). No external funding was received.</w:t>
      </w:r>
    </w:p>
    <w:p>
      <w:pPr>
        <w:spacing w:before="0" w:after="0" w:line="240"/>
      </w:pPr>
      <w:r>
        <w:rPr>
          <w:sz w:val="80"/>
          <w:szCs w:val="80"/>
        </w:rPr>
        <w:t xml:space="preserve"/>
      </w:r>
    </w:p>
    <w:p>
      <w:pPr>
        <w:spacing w:before="120" w:after="60"/>
        <w:jc w:val="center"/>
      </w:pPr>
      <w:r>
        <w:rPr>
          <w:rFonts w:ascii="Times New Roman" w:cs="Times New Roman" w:eastAsia="Times New Roman" w:hAnsi="Times New Roman"/>
          <w:b/>
          <w:bCs/>
          <w:smallCaps/>
          <w:sz w:val="18"/>
          <w:szCs w:val="18"/>
        </w:rPr>
        <w:t xml:space="preserve">References</w:t>
      </w:r>
    </w:p>
    <w:p>
      <w:pPr>
        <w:spacing w:before="0" w:after="0" w:line="240"/>
        <w:ind w:left="360" w:hanging="360"/>
        <w:jc w:val="both"/>
      </w:pPr>
      <w:r>
        <w:rPr>
          <w:rFonts w:ascii="Times New Roman" w:cs="Times New Roman" w:eastAsia="Times New Roman" w:hAnsi="Times New Roman"/>
          <w:sz w:val="16"/>
          <w:szCs w:val="16"/>
        </w:rPr>
        <w:t xml:space="preserve">[1]	A. Vaswani, N. Shazeer, N. Parmar, et al., “Attention is all you need,” in Proc. NeurIPS, vol. 30, 2017.</w:t>
      </w:r>
    </w:p>
    <w:p>
      <w:pPr>
        <w:spacing w:before="0" w:after="0" w:line="240"/>
        <w:ind w:left="360" w:hanging="360"/>
        <w:jc w:val="both"/>
      </w:pPr>
      <w:r>
        <w:rPr>
          <w:rFonts w:ascii="Times New Roman" w:cs="Times New Roman" w:eastAsia="Times New Roman" w:hAnsi="Times New Roman"/>
          <w:sz w:val="16"/>
          <w:szCs w:val="16"/>
        </w:rPr>
        <w:t xml:space="preserve">[2]	OpenAI, “GPT-4 Technical Report,” arXiv:2303.08774, 2023.</w:t>
      </w:r>
    </w:p>
    <w:p>
      <w:pPr>
        <w:spacing w:before="0" w:after="0" w:line="240"/>
        <w:ind w:left="360" w:hanging="360"/>
        <w:jc w:val="both"/>
      </w:pPr>
      <w:r>
        <w:rPr>
          <w:rFonts w:ascii="Times New Roman" w:cs="Times New Roman" w:eastAsia="Times New Roman" w:hAnsi="Times New Roman"/>
          <w:sz w:val="16"/>
          <w:szCs w:val="16"/>
        </w:rPr>
        <w:t xml:space="preserve">[3]	T. Brown, B. Mann, N. Ryder, et al., “Language models are few-shot learners,” in Proc. NeurIPS, vol. 33, pp. 1877–1901, 2020.</w:t>
      </w:r>
    </w:p>
    <w:p>
      <w:pPr>
        <w:spacing w:before="0" w:after="0" w:line="240"/>
        <w:ind w:left="360" w:hanging="360"/>
        <w:jc w:val="both"/>
      </w:pPr>
      <w:r>
        <w:rPr>
          <w:rFonts w:ascii="Times New Roman" w:cs="Times New Roman" w:eastAsia="Times New Roman" w:hAnsi="Times New Roman"/>
          <w:sz w:val="16"/>
          <w:szCs w:val="16"/>
        </w:rPr>
        <w:t xml:space="preserve">[4]	NASSCOM, “Future of Work – Reskilling &amp; Workforce Transformation Report,” NASSCOM Strategic Review, New Delhi, India, 2024.</w:t>
      </w:r>
    </w:p>
    <w:p>
      <w:pPr>
        <w:spacing w:before="0" w:after="0" w:line="240"/>
        <w:ind w:left="360" w:hanging="360"/>
        <w:jc w:val="both"/>
      </w:pPr>
      <w:r>
        <w:rPr>
          <w:rFonts w:ascii="Times New Roman" w:cs="Times New Roman" w:eastAsia="Times New Roman" w:hAnsi="Times New Roman"/>
          <w:sz w:val="16"/>
          <w:szCs w:val="16"/>
        </w:rPr>
        <w:t xml:space="preserve">[5]	Vercel, “Next.js 14 App Router Documentation,” 2024. [Online]. Available: https://nextjs.org/docs</w:t>
      </w:r>
    </w:p>
    <w:p>
      <w:pPr>
        <w:spacing w:before="0" w:after="0" w:line="240"/>
        <w:ind w:left="360" w:hanging="360"/>
        <w:jc w:val="both"/>
      </w:pPr>
      <w:r>
        <w:rPr>
          <w:rFonts w:ascii="Times New Roman" w:cs="Times New Roman" w:eastAsia="Times New Roman" w:hAnsi="Times New Roman"/>
          <w:sz w:val="16"/>
          <w:szCs w:val="16"/>
        </w:rPr>
        <w:t xml:space="preserve">[6]	Prisma, “Prisma ORM v5 Documentation,” 2024. [Online]. Available: https://www.prisma.io/docs</w:t>
      </w:r>
    </w:p>
    <w:p>
      <w:pPr>
        <w:spacing w:before="0" w:after="0" w:line="240"/>
        <w:ind w:left="360" w:hanging="360"/>
        <w:jc w:val="both"/>
      </w:pPr>
      <w:r>
        <w:rPr>
          <w:rFonts w:ascii="Times New Roman" w:cs="Times New Roman" w:eastAsia="Times New Roman" w:hAnsi="Times New Roman"/>
          <w:sz w:val="16"/>
          <w:szCs w:val="16"/>
        </w:rPr>
        <w:t xml:space="preserve">[7]	X. He, L. Liao, H. Zhang, et al., “Neural collaborative filtering,” in Proc. WWW, pp. 173–182, 2017.</w:t>
      </w:r>
    </w:p>
    <w:p>
      <w:pPr>
        <w:spacing w:before="0" w:after="0" w:line="240"/>
        <w:ind w:left="360" w:hanging="360"/>
        <w:jc w:val="both"/>
      </w:pPr>
      <w:r>
        <w:rPr>
          <w:rFonts w:ascii="Times New Roman" w:cs="Times New Roman" w:eastAsia="Times New Roman" w:hAnsi="Times New Roman"/>
          <w:sz w:val="16"/>
          <w:szCs w:val="16"/>
        </w:rPr>
        <w:t xml:space="preserve">[8]	D. Sculley, G. Holt, D. Golovin, et al., “Hidden technical debt in machine learning systems,” in Proc. NeurIPS, vol. 28, 2015.</w:t>
      </w:r>
    </w:p>
    <w:p>
      <w:pPr>
        <w:spacing w:before="0" w:after="0" w:line="240"/>
        <w:ind w:left="360" w:hanging="360"/>
        <w:jc w:val="both"/>
      </w:pPr>
      <w:r>
        <w:rPr>
          <w:rFonts w:ascii="Times New Roman" w:cs="Times New Roman" w:eastAsia="Times New Roman" w:hAnsi="Times New Roman"/>
          <w:sz w:val="16"/>
          <w:szCs w:val="16"/>
        </w:rPr>
        <w:t xml:space="preserve">[9]	S. Russell and P. Norvig, Artificial Intelligence: A Modern Approach, 4th ed. Hoboken, NJ: Pearson, 2020.</w:t>
      </w:r>
    </w:p>
    <w:p>
      <w:pPr>
        <w:spacing w:before="0" w:after="0" w:line="240"/>
        <w:ind w:left="360" w:hanging="360"/>
        <w:jc w:val="both"/>
      </w:pPr>
      <w:r>
        <w:rPr>
          <w:rFonts w:ascii="Times New Roman" w:cs="Times New Roman" w:eastAsia="Times New Roman" w:hAnsi="Times New Roman"/>
          <w:sz w:val="16"/>
          <w:szCs w:val="16"/>
        </w:rPr>
        <w:t xml:space="preserve">[10]	I. Goodfellow, Y. Bengio, and A. Courville, Deep Learning. Cambridge, MA: MIT Press, 2016.</w:t>
      </w:r>
    </w:p>
    <w:p>
      <w:pPr>
        <w:spacing w:before="0" w:after="0" w:line="240"/>
        <w:ind w:left="360" w:hanging="360"/>
        <w:jc w:val="both"/>
      </w:pPr>
      <w:r>
        <w:rPr>
          <w:rFonts w:ascii="Times New Roman" w:cs="Times New Roman" w:eastAsia="Times New Roman" w:hAnsi="Times New Roman"/>
          <w:sz w:val="16"/>
          <w:szCs w:val="16"/>
        </w:rPr>
        <w:t xml:space="preserve">[11]	World Economic Forum, “Future of Jobs Report 2023,” WEF, Geneva, Switzerland, 2023.</w:t>
      </w:r>
    </w:p>
    <w:p>
      <w:pPr>
        <w:spacing w:before="0" w:after="0" w:line="240"/>
        <w:ind w:left="360" w:hanging="360"/>
        <w:jc w:val="both"/>
      </w:pPr>
      <w:r>
        <w:rPr>
          <w:rFonts w:ascii="Times New Roman" w:cs="Times New Roman" w:eastAsia="Times New Roman" w:hAnsi="Times New Roman"/>
          <w:sz w:val="16"/>
          <w:szCs w:val="16"/>
        </w:rPr>
        <w:t xml:space="preserve">[12]	PostgreSQL Global Development Group, “PostgreSQL 16 Documentation,” 2024. [Online]. Available: https://www.postgresql.org/docs</w:t>
      </w:r>
    </w:p>
    <w:p>
      <w:pPr>
        <w:spacing w:before="0" w:after="0" w:line="240"/>
        <w:ind w:left="360" w:hanging="360"/>
        <w:jc w:val="both"/>
      </w:pPr>
      <w:r>
        <w:rPr>
          <w:rFonts w:ascii="Times New Roman" w:cs="Times New Roman" w:eastAsia="Times New Roman" w:hAnsi="Times New Roman"/>
          <w:sz w:val="16"/>
          <w:szCs w:val="16"/>
        </w:rPr>
        <w:t xml:space="preserve">[13]	M. Welling and Y. W. Teh, “Bayesian learning via stochastic gradient Langevin dynamics,” in Proc. ICML, pp. 681–688, 2011.</w:t>
      </w:r>
    </w:p>
    <w:p>
      <w:pPr>
        <w:spacing w:before="0" w:after="0" w:line="240"/>
        <w:ind w:left="360" w:hanging="360"/>
        <w:jc w:val="both"/>
      </w:pPr>
      <w:r>
        <w:rPr>
          <w:rFonts w:ascii="Times New Roman" w:cs="Times New Roman" w:eastAsia="Times New Roman" w:hAnsi="Times New Roman"/>
          <w:sz w:val="16"/>
          <w:szCs w:val="16"/>
        </w:rPr>
        <w:t xml:space="preserve">[14]	C. D. Manning and H. Schütze, Foundations of Statistical Natural Language Processing. Cambridge, MA: MIT Press, 1999.</w:t>
      </w:r>
    </w:p>
    <w:p>
      <w:pPr>
        <w:spacing w:before="0" w:after="0" w:line="240"/>
        <w:ind w:left="360" w:hanging="360"/>
        <w:jc w:val="both"/>
      </w:pPr>
      <w:r>
        <w:rPr>
          <w:rFonts w:ascii="Times New Roman" w:cs="Times New Roman" w:eastAsia="Times New Roman" w:hAnsi="Times New Roman"/>
          <w:sz w:val="16"/>
          <w:szCs w:val="16"/>
        </w:rPr>
        <w:t xml:space="preserve">[15]	World Economic Forum, “The Future of Jobs Report 2020,” WEF, Geneva, Switzerland, 2020.</w:t>
      </w:r>
    </w:p>
    <w:sectPr>
      <w:type w:val="continuous"/>
      <w:pgSz w:w="12240" w:h="15840" w:orient="portrait"/>
      <w:pgMar w:top="1080" w:right="900" w:bottom="1440" w:left="90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978-1-XXXX-XXXX-X/25/$31.00 ©2025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2026-03-27T20:11:49.192Z</dcterms:created>
  <dcterms:modified xsi:type="dcterms:W3CDTF">2026-03-27T20:11:49.193Z</dcterms:modified>
</cp:coreProperties>
</file>

<file path=docProps/custom.xml><?xml version="1.0" encoding="utf-8"?>
<Properties xmlns="http://schemas.openxmlformats.org/officeDocument/2006/custom-properties" xmlns:vt="http://schemas.openxmlformats.org/officeDocument/2006/docPropsVTypes"/>
</file>