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28"/>
          <w:szCs w:val="28"/>
        </w:rPr>
        <w:t xml:space="preserve">SkillGraph: A Hybrid Graph-Based and AI-Driven System for Resume Skill Gap Analysis and Career Intelligence</w:t>
      </w:r>
    </w:p>
    <w:p>
      <w:pPr>
        <w:spacing w:before="80" w:after="60"/>
        <w:jc w:val="center"/>
      </w:pPr>
      <w:r>
        <w:rPr>
          <w:rFonts w:ascii="Times New Roman" w:cs="Times New Roman" w:eastAsia="Times New Roman" w:hAnsi="Times New Roman"/>
          <w:sz w:val="20"/>
          <w:szCs w:val="20"/>
        </w:rPr>
        <w:t xml:space="preserve">Akash Tiwari, Priya Nair, Rohit Sharma, Divya Menon, Suresh Patel, Meera Iyer</w:t>
      </w:r>
    </w:p>
    <w:p>
      <w:pPr>
        <w:spacing w:before="0" w:after="60"/>
        <w:jc w:val="center"/>
      </w:pPr>
      <w:r>
        <w:rPr>
          <w:rFonts w:ascii="Times New Roman" w:cs="Times New Roman" w:eastAsia="Times New Roman" w:hAnsi="Times New Roman"/>
          <w:i/>
          <w:iCs/>
          <w:sz w:val="20"/>
          <w:szCs w:val="20"/>
        </w:rPr>
        <w:t xml:space="preserve">Department of Computer Science and Engineering, National Institute of Technology Trichy</w:t>
      </w:r>
    </w:p>
    <w:p>
      <w:pPr>
        <w:spacing w:before="0" w:after="60"/>
        <w:jc w:val="center"/>
      </w:pPr>
      <w:r>
        <w:rPr>
          <w:rFonts w:ascii="Times New Roman" w:cs="Times New Roman" w:eastAsia="Times New Roman" w:hAnsi="Times New Roman"/>
          <w:i/>
          <w:iCs/>
          <w:sz w:val="20"/>
          <w:szCs w:val="20"/>
        </w:rPr>
        <w:t xml:space="preserve">Tiruchirappalli, Tamil Nadu 620015, India</w:t>
      </w:r>
    </w:p>
    <w:p>
      <w:pPr>
        <w:spacing w:before="0" w:after="200"/>
        <w:jc w:val="center"/>
      </w:pPr>
      <w:r>
        <w:rPr>
          <w:rFonts w:ascii="Times New Roman" w:cs="Times New Roman" w:eastAsia="Times New Roman" w:hAnsi="Times New Roman"/>
          <w:sz w:val="18"/>
          <w:szCs w:val="18"/>
        </w:rPr>
        <w:t xml:space="preserve">{atiwari, pnair, rsharma, dmenon, spatel}@nitt.edu, Corresponding author: miyer@cse.nitt.edu</w:t>
      </w:r>
    </w:p>
    <w:p>
      <w:pPr>
        <w:spacing w:before="0" w:after="60"/>
        <w:jc w:val="center"/>
      </w:pPr>
      <w:r>
        <w:rPr>
          <w:rFonts w:ascii="Times New Roman" w:cs="Times New Roman" w:eastAsia="Times New Roman" w:hAnsi="Times New Roman"/>
          <w:b/>
          <w:bCs/>
          <w:i/>
          <w:iCs/>
          <w:sz w:val="20"/>
          <w:szCs w:val="20"/>
        </w:rPr>
        <w:t xml:space="preserve">Abstract</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rapid evolution of the technology sector has produced a persistent and widening chasm between the competencies possessed by graduating students and the competencies demanded by industry practitioners. Bridging this deficit necessitates intelligent, data-driven systems capable of real-time skill assessment and targeted remediation. In this paper, we present SkillGraph, a hybrid graph-based and AI-driven career intelligence platform designed to perform fine-grained resume skill gap analysis for students and early-career professionals. The proposed system ingests user-supplied resumes in PDF or DOC format, applies transformer-augmented named entity recognition to extract domain-specific competencies, and evaluates extracted skills against a dynamically maintained corpus of live job postings sourced from industry platforms. Skill comparisons are conducted via cosine similarity over dense sentence embeddings generated through a fine-tuned Sentence-BERT encoder. A Neo4j-backed knowledge graph organizes skills as nodes with weighted edges encoding dependency, co-occurrence, and domain-grouping relationships, enabling graph-traversal-based readiness scoring and personalized learning roadmap synthesis. The system achieves a skill extraction F1-score of 0.91 and an overall classification accuracy of 94% on a curated evaluation benchmark comprising 1,000 annotated resumes and 5,000 job postings spanning five technical domains. Experimental comparisons with keyword-matching baselines and single-modality embedding approaches confirm the superiority of the proposed hybrid strategy. SkillGraph demonstrates measurable utility as an automated career counseling auxiliary and provides scalable infrastructure for institution-level deployment.</w:t>
      </w:r>
    </w:p>
    <w:p>
      <w:pPr>
        <w:spacing w:before="80" w:after="160"/>
        <w:jc w:val="left"/>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—Career Intelligence, Graph Neural Networks, Knowledge Graph, Named Entity Recognition, Neo4j, Resume Analysis, Sentence-BERT, Skill Gap Analysis, Transformer Models.</w:t>
      </w:r>
    </w:p>
    <w:p>
      <w:pPr>
        <w:spacing w:before="160" w:after="80"/>
        <w:jc w:val="left"/>
      </w:pPr>
      <w:r>
        <w:rPr>
          <w:rFonts w:ascii="Times New Roman" w:cs="Times New Roman" w:eastAsia="Times New Roman" w:hAnsi="Times New Roman"/>
          <w:b/>
          <w:bCs/>
          <w:caps/>
          <w:sz w:val="22"/>
          <w:szCs w:val="22"/>
        </w:rPr>
        <w:t xml:space="preserve">I. INTRODUCTION</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contemporary labor market for technology professionals is characterized by a relentless pace of skill obsolescence and an ever-expanding taxonomy of domain competencies. Universities and technical institutes continue to produce graduates whose formal curricula frequently lag behind industrial requirements by a margin of several years, resulting in systemic underemployment and prolonged job-search cycles [1]. Career counseling services at most institutions rely on manual resume review and informal mentorship, methodologies that are inherently unscalable and subjective. The consequent inability to provide students with precise, actionable, and timely skill-gap diagnostics represents a critical failure point in educational outcome optimization [2].</w:t>
      </w:r>
    </w:p>
    <w:p>
      <w:pPr>
        <w:spacing w:before="0" w:after="80" w:line="276"/>
        <w:jc w:val="both"/>
      </w:pPr>
      <w:r>
        <w:rPr>
          <w:rFonts w:ascii="Times New Roman" w:cs="Times New Roman" w:eastAsia="Times New Roman" w:hAnsi="Times New Roman"/>
          <w:b w:val="false"/>
          <w:bCs w:val="false"/>
          <w:i w:val="false"/>
          <w:iCs w:val="false"/>
          <w:sz w:val="20"/>
          <w:szCs w:val="20"/>
        </w:rPr>
        <w:t xml:space="preserve">Natural language processing (NLP) and graph-based knowledge representation have each independently demonstrated substantial promise in information extraction and relational reasoning tasks [3], [4]. Named entity recognition (NER) models, in particular, have been successfully applied to resume parsing [5], while knowledge graphs have been deployed in recommendation systems, semantic search, and ontology engineering [6]. However, the integration of transformer-based skill extraction with graph-structured competency modeling for the specific domain of career intelligence has received comparatively limited scholarly attention. Existing commercial solutions such as LinkedIn Skills Assessments or Coursera Career Hub offer fragmented functionality and lack the architectural transparency required for academic reproducibility [7].</w:t>
      </w:r>
    </w:p>
    <w:p>
      <w:pPr>
        <w:spacing w:before="0" w:after="80" w:line="276"/>
        <w:jc w:val="both"/>
      </w:pPr>
      <w:r>
        <w:rPr>
          <w:rFonts w:ascii="Times New Roman" w:cs="Times New Roman" w:eastAsia="Times New Roman" w:hAnsi="Times New Roman"/>
          <w:b w:val="false"/>
          <w:bCs w:val="false"/>
          <w:i w:val="false"/>
          <w:iCs w:val="false"/>
          <w:sz w:val="20"/>
          <w:szCs w:val="20"/>
        </w:rPr>
        <w:t xml:space="preserve">Motivated by these observations, this paper presents SkillGraph, a microservices-based, event-driven career intelligence platform. The system combines spaCy-based and transformer-augmented NER for multi-granularity skill extraction, Sentence-BERT embeddings for semantic similarity computation, and a Neo4j knowledge graph for structured relational skill modeling. Job postings are sourced via simulated API pipelines representative of LinkedIn and Naukri-style data schemas, and skill gap scores are computed as percentage readiness metrics calibrated against domain-specific job requirement distributions. Furthermore, the system produces personalized learning roadmaps by traversing skill adjacency paths within the knowledge graph and surfacing prerequisite competencies ranked by relevance and attainability.</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principal contributions of this work are enumerated as follows. First, a curated dataset designated the SkillGraph Career Benchmark is introduced, comprising 1,000 annotated resumes and 5,000 job postings distributed across five technical domains. Second, a novel hybrid architecture combining transformer-based NLP, cosine similarity scoring over dense embeddings, and graph-traversal-based gap analysis is formalized and evaluated. Third, a personalized roadmap generation mechanism anchored in knowledge graph traversal is presented and assessed qualitatively and quantitatively. Fourth, the complete system is implemented as a containerized microservices architecture and released with its source code to facilitate reproducibility. The subsequent sections organize this contribution as follows: Section II surveys the related literature; Section III details the proposed system, dataset, architecture, skill graph model, and core algorithm; Section IV presents experimental results and comparative analysis; and Section V concludes the paper.</w:t>
      </w:r>
    </w:p>
    <w:p>
      <w:pPr>
        <w:spacing w:before="160" w:after="80"/>
        <w:jc w:val="left"/>
      </w:pPr>
      <w:r>
        <w:rPr>
          <w:rFonts w:ascii="Times New Roman" w:cs="Times New Roman" w:eastAsia="Times New Roman" w:hAnsi="Times New Roman"/>
          <w:b/>
          <w:bCs/>
          <w:caps/>
          <w:sz w:val="22"/>
          <w:szCs w:val="22"/>
        </w:rPr>
        <w:t xml:space="preserve">II. RELATED WORKS</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literature pertaining to automated resume analysis and career recommendation encompasses a broad spectrum of methodologies, ranging from rule-based ontological matching to deep learning-driven semantic parsing. Sinha et al. [8] proposed a keyword-frequency-based resume screening pipeline that achieves competitive precision on predefined job role templates but fails to generalize across heterogeneous job descriptions owing to its lexical rigidity. Their architecture employed a TF-IDF vectorizer paired with a support vector machine classifier, yielding acceptable performance only within narrow domain silos. Liu et al. [9] extended this paradigm by incorporating Word2Vec embeddings to capture semantic proximity between resume tokens and job description keywords, demonstrating that distributional semantics substantially outperform pure keyword overlap as a matching criterion.</w:t>
      </w:r>
    </w:p>
    <w:p>
      <w:pPr>
        <w:spacing w:before="0" w:after="80" w:line="276"/>
        <w:jc w:val="both"/>
      </w:pPr>
      <w:r>
        <w:rPr>
          <w:rFonts w:ascii="Times New Roman" w:cs="Times New Roman" w:eastAsia="Times New Roman" w:hAnsi="Times New Roman"/>
          <w:b w:val="false"/>
          <w:bCs w:val="false"/>
          <w:i w:val="false"/>
          <w:iCs w:val="false"/>
          <w:sz w:val="20"/>
          <w:szCs w:val="20"/>
        </w:rPr>
        <w:t xml:space="preserve">In the domain of knowledge graph applications for career data, Shi et al. [10] constructed an occupational knowledge graph from O*NET ontologies and demonstrated its utility for job role transition prediction. Their graph incorporated skill nodes, job nodes, and weighted edges reflecting skill-to-job relevance scores derived from co-occurrence statistics. While the resulting structure supports coarse-grained role matching, the absence of fine-grained dependency modeling between individual skills limits the actionability of gap diagnostics. Xu et al. [11] addressed a related problem by building a skill taxonomy graph from job postings using co-occurrence-based edge induction and hierarchical clustering, subsequently applying personalized PageRank for job recommendation. Their work, however, does not address resume-side skill extraction or gap quantification.</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Transformer-based approaches to resume parsing have gained considerable momentum following the success of BERT-family models in NER tasks [12]. Shang et al. [13] fine-tuned a BERT-large model on a proprietary annotated corpus for joint skill and experience extraction, achieving state-of-the-art F1 scores of 0.89 on their benchmark. Critically, their system does not incorporate graph-based reasoning or recommendation generation, treating skill extraction as a terminal task rather than an input to a downstream intelligence pipeline. More recently, Gugnani and Misra [14] proposed an implicit skill recommendation system that mines latent skill associations from job descriptions using transformer language models, demonstrating that implicit co-occurrence patterns encode richer competency relationships than explicit ontological definitions.</w:t>
      </w:r>
    </w:p>
    <w:p>
      <w:pPr>
        <w:spacing w:before="0" w:after="80" w:line="276"/>
        <w:jc w:val="both"/>
      </w:pPr>
      <w:r>
        <w:rPr>
          <w:rFonts w:ascii="Times New Roman" w:cs="Times New Roman" w:eastAsia="Times New Roman" w:hAnsi="Times New Roman"/>
          <w:b w:val="false"/>
          <w:bCs w:val="false"/>
          <w:i w:val="false"/>
          <w:iCs w:val="false"/>
          <w:sz w:val="20"/>
          <w:szCs w:val="20"/>
        </w:rPr>
        <w:t xml:space="preserve">Graph neural network (GNN) applications to recommendation and matching problems have been extensively investigated in adjacent domains. He et al. [15] demonstrated the efficacy of LightGCN for collaborative filtering in e-commerce recommendation, a methodology subsequently adapted by Sun et al. [16] for course recommendation in educational platforms. These architectures motivate the use of graph-structured representations for skill modeling in SkillGraph, though direct application is non-trivial given the absence of user interaction histories in resume-centric deployments. The present work advances this body of research by integrating transformer-based extraction, Sentence-BERT semantic matching, and Neo4j knowledge graph traversal within a unified, end-to-end deployable career intelligence architecture, filling a gap not addressed by any single prior work.</w:t>
      </w:r>
    </w:p>
    <w:p>
      <w:pPr>
        <w:spacing w:before="160" w:after="80"/>
        <w:jc w:val="left"/>
      </w:pPr>
      <w:r>
        <w:rPr>
          <w:rFonts w:ascii="Times New Roman" w:cs="Times New Roman" w:eastAsia="Times New Roman" w:hAnsi="Times New Roman"/>
          <w:b/>
          <w:bCs/>
          <w:caps/>
          <w:sz w:val="22"/>
          <w:szCs w:val="22"/>
        </w:rPr>
        <w:t xml:space="preserve">III. PROPOSED SYSTEM</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This section provides a comprehensive description of the SkillGraph system, organized into subsections covering data collection and preprocessing, the proposed architecture, the skill graph model, and the core processing algorithm. Figure 1 presents a high-level overview of the complete workflow.</w:t>
      </w:r>
    </w:p>
    <w:p>
      <w:pPr>
        <w:spacing w:before="160" w:after="80"/>
        <w:jc w:val="left"/>
      </w:pPr>
      <w:r>
        <w:rPr>
          <w:rFonts w:ascii="Times New Roman" w:cs="Times New Roman" w:eastAsia="Times New Roman" w:hAnsi="Times New Roman"/>
          <w:b/>
          <w:bCs/>
          <w:caps w:val="false"/>
          <w:sz w:val="20"/>
          <w:szCs w:val="20"/>
        </w:rPr>
        <w:t xml:space="preserve">A. Data Collection and Preprocessing</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SkillGraph Career Benchmark was constructed from two primary sources: a resume corpus and a job postings corpus. Resumes were collected from publicly available career datasets and augmented with synthetically generated documents produced by prompting a generative language model with domain-specific role descriptions. The resulting corpus contains 1,000 resumes distributed across five technical domains: Backend Engineering, Frontend Development, Artificial Intelligence and Machine Learning, Data Science and Analytics, and Cloud and DevOps Engineering. Job postings were simulated from schema templates representative of LinkedIn and Naukri job description formats, yielding 5,000 postings with structured fields for required skills, preferred skills, job title, experience level, and domain category. The complete dataset encompasses 127 unique canonical skills after normalization and deduplication.</w:t>
      </w:r>
    </w:p>
    <w:p>
      <w:pPr>
        <w:spacing w:before="0" w:after="80" w:line="276"/>
        <w:jc w:val="both"/>
      </w:pPr>
      <w:r>
        <w:rPr>
          <w:rFonts w:ascii="Times New Roman" w:cs="Times New Roman" w:eastAsia="Times New Roman" w:hAnsi="Times New Roman"/>
          <w:b w:val="false"/>
          <w:bCs w:val="false"/>
          <w:i w:val="false"/>
          <w:iCs w:val="false"/>
          <w:sz w:val="20"/>
          <w:szCs w:val="20"/>
        </w:rPr>
        <w:t xml:space="preserve">Preprocessing of resume documents entailed multi-stage text extraction: PDF files were parsed using PyMuPDF with fallback to pdfminer for complex layout documents, while DOC and DOCX files were processed via python-docx. Extracted raw text was subjected to sentence segmentation using spaCy's en_core_web_trf pipeline, followed by tokenization, stop-word removal, and lowercasing. Skill surface forms were normalized to canonical identifiers using a custom synonym dictionary mapping, for example, "ML" to "Machine Learning" and "JS" to "JavaScript". Augmentation of the resume corpus was performed via random rotation of skill orderings, paraphrasing of experience descriptions, and controlled injection of typographic noise to improve model robustness. The data distribution is summarized in Table I, and a representative sample of dataset categories is illustrated in Figure 2.</w:t>
      </w:r>
    </w:p>
    <w:p>
      <w:pPr>
        <w:spacing w:before="120" w:after="60"/>
        <w:jc w:val="center"/>
      </w:pPr>
      <w:r>
        <w:rPr>
          <w:rFonts w:ascii="Times New Roman" w:cs="Times New Roman" w:eastAsia="Times New Roman" w:hAnsi="Times New Roman"/>
          <w:b/>
          <w:bCs/>
          <w:sz w:val="20"/>
          <w:szCs w:val="20"/>
        </w:rPr>
        <w:t xml:space="preserve">TABLE I</w:t>
      </w:r>
    </w:p>
    <w:p>
      <w:pPr>
        <w:spacing w:before="0" w:after="80"/>
        <w:jc w:val="center"/>
      </w:pPr>
      <w:r>
        <w:rPr>
          <w:rFonts w:ascii="Times New Roman" w:cs="Times New Roman" w:eastAsia="Times New Roman" w:hAnsi="Times New Roman"/>
          <w:b w:val="false"/>
          <w:bCs w:val="false"/>
          <w:i/>
          <w:iCs/>
          <w:sz w:val="20"/>
          <w:szCs w:val="20"/>
        </w:rPr>
        <w:t xml:space="preserve">Distribution of SkillGraph Career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c>
          <w:tcPr>
            <w:tcW w:type="dxa" w:w="250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Domain</w:t>
            </w:r>
          </w:p>
        </w:tc>
        <w:tc>
          <w:tcPr>
            <w:tcW w:type="dxa" w:w="170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Resumes</w:t>
            </w:r>
          </w:p>
        </w:tc>
        <w:tc>
          <w:tcPr>
            <w:tcW w:type="dxa" w:w="170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Job Postings</w:t>
            </w:r>
          </w:p>
        </w:tc>
        <w:tc>
          <w:tcPr>
            <w:tcW w:type="dxa" w:w="170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Unique Skills</w:t>
            </w:r>
          </w:p>
        </w:tc>
        <w:tc>
          <w:tcPr>
            <w:tcW w:type="dxa" w:w="176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Total Tokens</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Backend Engineering</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210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1050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41,280</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Frontend Development</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185</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925</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24</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36,095</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AI / ML</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220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1100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44,880</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Data Science</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195</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975</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38,610</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Cloud / DevOps</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190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950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35,530</w:t>
            </w:r>
          </w:p>
        </w:tc>
      </w:tr>
      <w:tr>
        <w:tc>
          <w:tcPr>
            <w:tcW w:type="dxa" w:w="250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Total</w:t>
            </w:r>
          </w:p>
        </w:tc>
        <w:tc>
          <w:tcPr>
            <w:tcW w:type="dxa" w:w="170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1000</w:t>
            </w:r>
          </w:p>
        </w:tc>
        <w:tc>
          <w:tcPr>
            <w:tcW w:type="dxa" w:w="170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5000</w:t>
            </w:r>
          </w:p>
        </w:tc>
        <w:tc>
          <w:tcPr>
            <w:tcW w:type="dxa" w:w="170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127</w:t>
            </w:r>
          </w:p>
        </w:tc>
        <w:tc>
          <w:tcPr>
            <w:tcW w:type="dxa" w:w="1760"/>
            <w:tcBorders>
              <w:top w:val="single" w:color="888888" w:sz="1"/>
              <w:left w:val="single" w:color="888888" w:sz="1"/>
              <w:bottom w:val="single" w:color="888888" w:sz="1"/>
              <w:right w:val="single" w:color="888888" w:sz="1"/>
            </w:tcBorders>
            <w:shd w:fill="DDDDD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196,395</w:t>
            </w:r>
          </w:p>
        </w:tc>
      </w:tr>
    </w:tbl>
    <w:p>
      <w:pPr>
        <w:spacing w:before="80" w:after="160"/>
      </w:pPr>
    </w:p>
    <w:p>
      <w:pPr>
        <w:spacing w:before="160" w:after="80"/>
        <w:jc w:val="left"/>
      </w:pPr>
      <w:r>
        <w:rPr>
          <w:rFonts w:ascii="Times New Roman" w:cs="Times New Roman" w:eastAsia="Times New Roman" w:hAnsi="Times New Roman"/>
          <w:b/>
          <w:bCs/>
          <w:caps w:val="false"/>
          <w:sz w:val="20"/>
          <w:szCs w:val="20"/>
        </w:rPr>
        <w:t xml:space="preserve">B. Proposed Architecture</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SkillGraph system is realized as a containerized microservices architecture comprising four principal service units: the Resume Service, the Job Scraper Service, the Skill Analysis Service, and the Recommendation Engine. Figure 3 illustrates the complete system architecture and inter-service communication topology. Service orchestration is handled via Docker Compose, with asynchronous event propagation implemented through an in-process event bus abstraction that decouples upstream document ingestion from downstream analytical processing.</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Resume Service accepts uploaded documents via a RESTful HTTP endpoint and is responsible for format detection, text extraction, and emission of a structured resume event payload containing raw text segments and metadata. The Job Scraper Service maintains a scheduled polling mechanism against simulated job posting APIs conforming to LinkedIn and Naukri schema conventions, persisting normalized job records to a PostgreSQL relational database. The Skill Analysis Service subscribes to resume events, invokes the NLP extraction pipeline, retrieves relevant job postings from PostgreSQL, computes cosine similarity scores between resume skill embeddings and job requirement embeddings, and writes gap analysis results to both PostgreSQL and Neo4j. The Recommendation Engine queries Neo4j using Cypher traversal procedures to identify prerequisite skill paths and constructs personalized learning roadmaps, which are subsequently delivered to the client application via a GraphQL API.</w:t>
      </w:r>
    </w:p>
    <w:p>
      <w:pPr>
        <w:spacing w:before="0" w:after="80" w:line="276"/>
        <w:jc w:val="both"/>
      </w:pPr>
      <w:r>
        <w:rPr>
          <w:rFonts w:ascii="Times New Roman" w:cs="Times New Roman" w:eastAsia="Times New Roman" w:hAnsi="Times New Roman"/>
          <w:b w:val="false"/>
          <w:bCs w:val="false"/>
          <w:i w:val="false"/>
          <w:iCs w:val="false"/>
          <w:sz w:val="20"/>
          <w:szCs w:val="20"/>
        </w:rPr>
        <w:t xml:space="preserve">Persistent state is distributed across two storage backends. PostgreSQL serves as the primary relational store for user profiles, resume metadata, job postings, and gap analysis records, organized into normalized schemas with foreign-key integrity constraints. Neo4j serves as the graph database for the skill knowledge graph, storing skill nodes with domain and proficiency-level properties and typed edges encoding dependency (REQUIRES), similarity (SIMILAR_TO), and domain grouping (BELONGS_TO) relationships. This dual-database strategy leverages the respective strengths of relational and graph query paradigms for structured retrieval and graph traversal operations respectively.</w:t>
      </w:r>
    </w:p>
    <w:p>
      <w:pPr>
        <w:spacing w:before="160" w:after="80"/>
        <w:jc w:val="left"/>
      </w:pPr>
      <w:r>
        <w:rPr>
          <w:rFonts w:ascii="Times New Roman" w:cs="Times New Roman" w:eastAsia="Times New Roman" w:hAnsi="Times New Roman"/>
          <w:b/>
          <w:bCs/>
          <w:caps w:val="false"/>
          <w:sz w:val="20"/>
          <w:szCs w:val="20"/>
        </w:rPr>
        <w:t xml:space="preserve">C. Skill Graph Model</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skill knowledge graph constitutes the central representational substrate of SkillGraph and is formally defined as a directed labeled multigraph G = (V, E, L) where V denotes the set of skill nodes, E ⊆ V × V denotes the set of directed edges, and L: E → {REQUIRES, SIMILAR_TO, BELONGS_TO} is the edge labeling function. Each node v ∈ V carries attribute vector A(v) = (name, domain, proficiency_level, frequency) encoding the skill's canonical identifier, domain membership, required proficiency tier, and population-level frequency in the job postings corpus. Figure 4 presents a representative subgraph of the skill knowledge graph spanning the AI/ML and Data Science domains.</w:t>
      </w:r>
    </w:p>
    <w:p>
      <w:pPr>
        <w:spacing w:before="0" w:after="80" w:line="276"/>
        <w:jc w:val="both"/>
      </w:pPr>
      <w:r>
        <w:rPr>
          <w:rFonts w:ascii="Times New Roman" w:cs="Times New Roman" w:eastAsia="Times New Roman" w:hAnsi="Times New Roman"/>
          <w:b w:val="false"/>
          <w:bCs w:val="false"/>
          <w:i w:val="false"/>
          <w:iCs w:val="false"/>
          <w:sz w:val="20"/>
          <w:szCs w:val="20"/>
        </w:rPr>
        <w:t xml:space="preserve">Edge weights are assigned through a combination of co-occurrence statistics and expert-curated ontological rules. REQUIRES edges encode prerequisite relationships derived from job posting co-occurrence patterns: if skills s_i and s_j co-appear in job requirements with frequency f(s_i, s_j) exceeding a threshold τ_dep = 0.35, a directed REQUIRES edge is induced from the prerequisite to the dependent skill. SIMILAR_TO edges connect skills whose Sentence-BERT embedding cosine similarity exceeds τ_sim = 0.72, capturing semantic equivalences not expressed in lexical surface forms. BELONGS_TO edges link each skill node to its domain cluster node, enabling domain-level aggregation queries. The complete graph construction pipeline processes the 5,000 job postings in the corpus to yield a graph containing 127 skill nodes, 8 domain nodes, 312 REQUIRES edges, 184 SIMILAR_TO edges, and 127 BELONGS_TO edges. Figure 5 illustrates the end-to-end processing pipeline from resume ingestion to recommendation output.</w:t>
      </w:r>
    </w:p>
    <w:p>
      <w:pPr>
        <w:spacing w:before="0" w:after="80" w:line="276"/>
        <w:jc w:val="both"/>
      </w:pPr>
      <w:r>
        <w:rPr>
          <w:rFonts w:ascii="Times New Roman" w:cs="Times New Roman" w:eastAsia="Times New Roman" w:hAnsi="Times New Roman"/>
          <w:b w:val="false"/>
          <w:bCs w:val="false"/>
          <w:i w:val="false"/>
          <w:iCs w:val="false"/>
          <w:sz w:val="20"/>
          <w:szCs w:val="20"/>
        </w:rPr>
        <w:t xml:space="preserve">Skill gap scoring is performed by computing a weighted readiness score R(u, j) for user u against target job j, defined as the ratio of matched weighted skill coverage to total required skill coverage for j within the knowledge graph. Skills matched via exact canonical identifier receive full weight, while skills matched semantically via embedding similarity receive partial weight proportional to the cosine similarity score. Skills identified in the graph as prerequisites of required skills but absent from the user's resume are flagged as critical gap nodes and assigned the highest remediation priority in the learning roadmap.</w:t>
      </w:r>
    </w:p>
    <w:p>
      <w:pPr>
        <w:spacing w:before="160" w:after="80"/>
        <w:jc w:val="left"/>
      </w:pPr>
      <w:r>
        <w:rPr>
          <w:rFonts w:ascii="Times New Roman" w:cs="Times New Roman" w:eastAsia="Times New Roman" w:hAnsi="Times New Roman"/>
          <w:b/>
          <w:bCs/>
          <w:caps w:val="false"/>
          <w:sz w:val="20"/>
          <w:szCs w:val="20"/>
        </w:rPr>
        <w:t xml:space="preserve">D. Algorithm</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end-to-end processing logic of SkillGraph is formalized in Algorithm 1. The procedure accepts a raw resume document R and a job postings dataset J as inputs and returns a skill gap score S, a gap skills set G, and a ranked learning roadmap M. The algorithm is structured into four sequential phases: skill extraction, semantic matching, graph traversal, and recommendation generation.</w:t>
      </w:r>
    </w:p>
    <w:p>
      <w:pPr>
        <w:spacing w:before="120" w:after="40"/>
      </w:pPr>
      <w:r>
        <w:rPr>
          <w:rFonts w:ascii="Courier New" w:cs="Courier New" w:eastAsia="Courier New" w:hAnsi="Courier New"/>
          <w:b/>
          <w:bCs/>
          <w:sz w:val="20"/>
          <w:szCs w:val="20"/>
        </w:rPr>
        <w:t xml:space="preserve">Algorithm 1  SkillGraph Processing Pipeline</w:t>
      </w:r>
    </w:p>
    <w:p>
      <w:pPr>
        <w:spacing w:before="0" w:after="20"/>
      </w:pPr>
      <w:r>
        <w:rPr>
          <w:rFonts w:ascii="Courier New" w:cs="Courier New" w:eastAsia="Courier New" w:hAnsi="Courier New"/>
          <w:sz w:val="19"/>
          <w:szCs w:val="19"/>
        </w:rPr>
        <w:t xml:space="preserve">Input  : Resume R, Job Dataset J</w:t>
      </w:r>
    </w:p>
    <w:p>
      <w:pPr>
        <w:spacing w:before="0" w:after="20"/>
      </w:pPr>
      <w:r>
        <w:rPr>
          <w:rFonts w:ascii="Courier New" w:cs="Courier New" w:eastAsia="Courier New" w:hAnsi="Courier New"/>
          <w:sz w:val="19"/>
          <w:szCs w:val="19"/>
        </w:rPr>
        <w:t xml:space="preserve">Output : Skill Gap Score S, Gap Skills G, Roadmap M</w:t>
      </w:r>
    </w:p>
    <w:p>
      <w:pPr>
        <w:spacing w:before="0" w:after="20"/>
      </w:pPr>
      <w:r>
        <w:rPr>
          <w:rFonts w:ascii="Courier New" w:cs="Courier New" w:eastAsia="Courier New" w:hAnsi="Courier New"/>
          <w:sz w:val="19"/>
          <w:szCs w:val="19"/>
        </w:rPr>
        <w:t xml:space="preserve">Method :</w:t>
      </w:r>
    </w:p>
    <w:p>
      <w:pPr>
        <w:spacing w:before="0" w:after="20"/>
      </w:pPr>
      <w:r>
        <w:rPr>
          <w:rFonts w:ascii="Courier New" w:cs="Courier New" w:eastAsia="Courier New" w:hAnsi="Courier New"/>
          <w:sz w:val="19"/>
          <w:szCs w:val="19"/>
        </w:rPr>
        <w:t xml:space="preserve">  // Phase 1: Skill Extraction</w:t>
      </w:r>
    </w:p>
    <w:p>
      <w:pPr>
        <w:spacing w:before="0" w:after="20"/>
      </w:pPr>
      <w:r>
        <w:rPr>
          <w:rFonts w:ascii="Courier New" w:cs="Courier New" w:eastAsia="Courier New" w:hAnsi="Courier New"/>
          <w:sz w:val="19"/>
          <w:szCs w:val="19"/>
        </w:rPr>
        <w:t xml:space="preserve">  text       = extract_text(R)</w:t>
      </w:r>
    </w:p>
    <w:p>
      <w:pPr>
        <w:spacing w:before="0" w:after="20"/>
      </w:pPr>
      <w:r>
        <w:rPr>
          <w:rFonts w:ascii="Courier New" w:cs="Courier New" w:eastAsia="Courier New" w:hAnsi="Courier New"/>
          <w:sz w:val="19"/>
          <w:szCs w:val="19"/>
        </w:rPr>
        <w:t xml:space="preserve">  tokens     = tokenize(text)</w:t>
      </w:r>
    </w:p>
    <w:p>
      <w:pPr>
        <w:spacing w:before="0" w:after="20"/>
      </w:pPr>
      <w:r>
        <w:rPr>
          <w:rFonts w:ascii="Courier New" w:cs="Courier New" w:eastAsia="Courier New" w:hAnsi="Courier New"/>
          <w:sz w:val="19"/>
          <w:szCs w:val="19"/>
        </w:rPr>
        <w:t xml:space="preserve">  SkillsR    = NER_extract(tokens, model=SBERT_NER)</w:t>
      </w:r>
    </w:p>
    <w:p>
      <w:pPr>
        <w:spacing w:before="0" w:after="20"/>
      </w:pPr>
      <w:r>
        <w:rPr>
          <w:rFonts w:ascii="Courier New" w:cs="Courier New" w:eastAsia="Courier New" w:hAnsi="Courier New"/>
          <w:sz w:val="19"/>
          <w:szCs w:val="19"/>
        </w:rPr>
        <w:t xml:space="preserve">  SkillsR    = normalize_skills(SkillsR, synonym_map)</w:t>
      </w:r>
    </w:p>
    <w:p>
      <w:pPr>
        <w:spacing w:before="0" w:after="20"/>
      </w:pPr>
      <w:r>
        <w:rPr>
          <w:rFonts w:ascii="Courier New" w:cs="Courier New" w:eastAsia="Courier New" w:hAnsi="Courier New"/>
          <w:sz w:val="19"/>
          <w:szCs w:val="19"/>
        </w:rPr>
        <w:t xml:space="preserve">  // Phase 2: Semantic Matching</w:t>
      </w:r>
    </w:p>
    <w:p>
      <w:pPr>
        <w:spacing w:before="0" w:after="20"/>
      </w:pPr>
      <w:r>
        <w:rPr>
          <w:rFonts w:ascii="Courier New" w:cs="Courier New" w:eastAsia="Courier New" w:hAnsi="Courier New"/>
          <w:sz w:val="19"/>
          <w:szCs w:val="19"/>
        </w:rPr>
        <w:t xml:space="preserve">  for each job j in J:</w:t>
      </w:r>
    </w:p>
    <w:p>
      <w:pPr>
        <w:spacing w:before="0" w:after="20"/>
      </w:pPr>
      <w:r>
        <w:rPr>
          <w:rFonts w:ascii="Courier New" w:cs="Courier New" w:eastAsia="Courier New" w:hAnsi="Courier New"/>
          <w:sz w:val="19"/>
          <w:szCs w:val="19"/>
        </w:rPr>
        <w:t xml:space="preserve">    SkillsJ  = extract_required_skills(j)</w:t>
      </w:r>
    </w:p>
    <w:p>
      <w:pPr>
        <w:spacing w:before="0" w:after="20"/>
      </w:pPr>
      <w:r>
        <w:rPr>
          <w:rFonts w:ascii="Courier New" w:cs="Courier New" w:eastAsia="Courier New" w:hAnsi="Courier New"/>
          <w:sz w:val="19"/>
          <w:szCs w:val="19"/>
        </w:rPr>
        <w:t xml:space="preserve">    emb_R    = SBERT_encode(SkillsR)</w:t>
      </w:r>
    </w:p>
    <w:p>
      <w:pPr>
        <w:spacing w:before="0" w:after="20"/>
      </w:pPr>
      <w:r>
        <w:rPr>
          <w:rFonts w:ascii="Courier New" w:cs="Courier New" w:eastAsia="Courier New" w:hAnsi="Courier New"/>
          <w:sz w:val="19"/>
          <w:szCs w:val="19"/>
        </w:rPr>
        <w:t xml:space="preserve">    emb_J    = SBERT_encode(SkillsJ)</w:t>
      </w:r>
    </w:p>
    <w:p>
      <w:pPr>
        <w:spacing w:before="0" w:after="20"/>
      </w:pPr>
      <w:r>
        <w:rPr>
          <w:rFonts w:ascii="Courier New" w:cs="Courier New" w:eastAsia="Courier New" w:hAnsi="Courier New"/>
          <w:sz w:val="19"/>
          <w:szCs w:val="19"/>
        </w:rPr>
        <w:t xml:space="preserve">    sim[j]   = cosine_similarity(emb_R, emb_J)</w:t>
      </w:r>
    </w:p>
    <w:p>
      <w:pPr>
        <w:spacing w:before="0" w:after="20"/>
      </w:pPr>
      <w:r>
        <w:rPr>
          <w:rFonts w:ascii="Courier New" w:cs="Courier New" w:eastAsia="Courier New" w:hAnsi="Courier New"/>
          <w:sz w:val="19"/>
          <w:szCs w:val="19"/>
        </w:rPr>
        <w:t xml:space="preserve">  j*         = argmax_j(sim[j])</w:t>
      </w:r>
    </w:p>
    <w:p>
      <w:pPr>
        <w:spacing w:before="0" w:after="20"/>
      </w:pPr>
      <w:r>
        <w:rPr>
          <w:rFonts w:ascii="Courier New" w:cs="Courier New" w:eastAsia="Courier New" w:hAnsi="Courier New"/>
          <w:sz w:val="19"/>
          <w:szCs w:val="19"/>
        </w:rPr>
        <w:t xml:space="preserve">  // Phase 3: Graph Traversal</w:t>
      </w:r>
    </w:p>
    <w:p>
      <w:pPr>
        <w:spacing w:before="0" w:after="20"/>
      </w:pPr>
      <w:r>
        <w:rPr>
          <w:rFonts w:ascii="Courier New" w:cs="Courier New" w:eastAsia="Courier New" w:hAnsi="Courier New"/>
          <w:sz w:val="19"/>
          <w:szCs w:val="19"/>
        </w:rPr>
        <w:t xml:space="preserve">  G          = SkillsJ* \ SkillsR  // gap set</w:t>
      </w:r>
    </w:p>
    <w:p>
      <w:pPr>
        <w:spacing w:before="0" w:after="20"/>
      </w:pPr>
      <w:r>
        <w:rPr>
          <w:rFonts w:ascii="Courier New" w:cs="Courier New" w:eastAsia="Courier New" w:hAnsi="Courier New"/>
          <w:sz w:val="19"/>
          <w:szCs w:val="19"/>
        </w:rPr>
        <w:t xml:space="preserve">  S          = compute_readiness(SkillsR, SkillsJ*, G)</w:t>
      </w:r>
    </w:p>
    <w:p>
      <w:pPr>
        <w:spacing w:before="0" w:after="20"/>
      </w:pPr>
      <w:r>
        <w:rPr>
          <w:rFonts w:ascii="Courier New" w:cs="Courier New" w:eastAsia="Courier New" w:hAnsi="Courier New"/>
          <w:sz w:val="19"/>
          <w:szCs w:val="19"/>
        </w:rPr>
        <w:t xml:space="preserve">  prereqs    = graph_traverse(G, rel=REQUIRES, depth=3)</w:t>
      </w:r>
    </w:p>
    <w:p>
      <w:pPr>
        <w:spacing w:before="0" w:after="20"/>
      </w:pPr>
      <w:r>
        <w:rPr>
          <w:rFonts w:ascii="Courier New" w:cs="Courier New" w:eastAsia="Courier New" w:hAnsi="Courier New"/>
          <w:sz w:val="19"/>
          <w:szCs w:val="19"/>
        </w:rPr>
        <w:t xml:space="preserve">  clusters   = cluster_by_domain(G ∪ prereqs)</w:t>
      </w:r>
    </w:p>
    <w:p>
      <w:pPr>
        <w:spacing w:before="0" w:after="20"/>
      </w:pPr>
      <w:r>
        <w:rPr>
          <w:rFonts w:ascii="Courier New" w:cs="Courier New" w:eastAsia="Courier New" w:hAnsi="Courier New"/>
          <w:sz w:val="19"/>
          <w:szCs w:val="19"/>
        </w:rPr>
        <w:t xml:space="preserve">  // Phase 4: Recommendation Generation</w:t>
      </w:r>
    </w:p>
    <w:p>
      <w:pPr>
        <w:spacing w:before="0" w:after="20"/>
      </w:pPr>
      <w:r>
        <w:rPr>
          <w:rFonts w:ascii="Courier New" w:cs="Courier New" w:eastAsia="Courier New" w:hAnsi="Courier New"/>
          <w:sz w:val="19"/>
          <w:szCs w:val="19"/>
        </w:rPr>
        <w:t xml:space="preserve">  M          = rank_roadmap(clusters, sim_scores)</w:t>
      </w:r>
    </w:p>
    <w:p>
      <w:pPr>
        <w:spacing w:before="0" w:after="80"/>
      </w:pPr>
      <w:r>
        <w:rPr>
          <w:rFonts w:ascii="Courier New" w:cs="Courier New" w:eastAsia="Courier New" w:hAnsi="Courier New"/>
          <w:sz w:val="19"/>
          <w:szCs w:val="19"/>
        </w:rPr>
        <w:t xml:space="preserve">  return S, G, M</w:t>
      </w:r>
    </w:p>
    <w:p>
      <w:pPr>
        <w:spacing w:before="0" w:after="80" w:line="276"/>
        <w:jc w:val="both"/>
      </w:pPr>
      <w:r>
        <w:rPr>
          <w:rFonts w:ascii="Times New Roman" w:cs="Times New Roman" w:eastAsia="Times New Roman" w:hAnsi="Times New Roman"/>
          <w:b w:val="false"/>
          <w:bCs w:val="false"/>
          <w:i w:val="false"/>
          <w:iCs w:val="false"/>
          <w:sz w:val="20"/>
          <w:szCs w:val="20"/>
        </w:rPr>
        <w:t xml:space="preserve">In the skill extraction phase, raw resume text is passed through the fine-tuned Sentence-BERT NER model to identify skill surface forms, which are subsequently normalized to canonical identifiers via the synonym map. The semantic matching phase encodes both the extracted resume skills and the required skills of each candidate job posting using the Sentence-BERT encoder and computes pairwise cosine similarity scores to identify the most relevant target job j*. In the graph traversal phase, the gap skill set G is computed as the set-theoretic difference between required job skills and extracted resume skills, and a readiness score S is derived as a weighted coverage ratio. The Neo4j knowledge graph is then queried with depth-bounded REQUIRES traversals rooted at each gap node to surface prerequisite competencies. Finally, the recommendation generation phase clusters gap and prerequisite skills by domain, ranks them by a composite relevance score incorporating similarity and frequency statistics, and assembles the personalized learning roadmap M.</w:t>
      </w:r>
    </w:p>
    <w:p>
      <w:pPr>
        <w:spacing w:before="160" w:after="80"/>
        <w:jc w:val="left"/>
      </w:pPr>
      <w:r>
        <w:rPr>
          <w:rFonts w:ascii="Times New Roman" w:cs="Times New Roman" w:eastAsia="Times New Roman" w:hAnsi="Times New Roman"/>
          <w:b/>
          <w:bCs/>
          <w:caps/>
          <w:sz w:val="22"/>
          <w:szCs w:val="22"/>
        </w:rPr>
        <w:t xml:space="preserve">IV. RESULTS AND DISCUSSION</w:t>
      </w:r>
    </w:p>
    <w:p>
      <w:pPr>
        <w:spacing w:before="160" w:after="80"/>
        <w:jc w:val="left"/>
      </w:pPr>
      <w:r>
        <w:rPr>
          <w:rFonts w:ascii="Times New Roman" w:cs="Times New Roman" w:eastAsia="Times New Roman" w:hAnsi="Times New Roman"/>
          <w:b/>
          <w:bCs/>
          <w:caps w:val="false"/>
          <w:sz w:val="20"/>
          <w:szCs w:val="20"/>
        </w:rPr>
        <w:t xml:space="preserve">A. Evaluation Metrics</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performance of SkillGraph was evaluated along two distinct axes: skill extraction quality and end-to-end classification accuracy for domain and readiness tier prediction. Skill extraction quality was assessed via precision, recall, and F1-score computed over manually annotated ground-truth skill labels in a held-out test partition of 200 resumes. Domain classification and readiness tier prediction were evaluated via overall accuracy, weighted F1-score, and the Matthews Correlation Coefficient (MCC), the latter being particularly informative for the class-imbalanced nature of the evaluation set. The area under the receiver operating characteristic curve (ROC-AUC) was computed for both binary readiness classification (ready vs. not ready) and one-vs-rest multiclass domain classification to provide discrimination-threshold-independent performance characterization. The confusion matrix detailed in Figure 6 and the ROC curve presented in Figure 7 supplement the scalar metric summaries reported below.</w:t>
      </w:r>
    </w:p>
    <w:p>
      <w:pPr>
        <w:spacing w:before="160" w:after="80"/>
        <w:jc w:val="left"/>
      </w:pPr>
      <w:r>
        <w:rPr>
          <w:rFonts w:ascii="Times New Roman" w:cs="Times New Roman" w:eastAsia="Times New Roman" w:hAnsi="Times New Roman"/>
          <w:b/>
          <w:bCs/>
          <w:caps w:val="false"/>
          <w:sz w:val="20"/>
          <w:szCs w:val="20"/>
        </w:rPr>
        <w:t xml:space="preserve">B. Results</w:t>
      </w:r>
    </w:p>
    <w:p>
      <w:pPr>
        <w:spacing w:before="0" w:after="80" w:line="276"/>
        <w:jc w:val="both"/>
      </w:pPr>
      <w:r>
        <w:rPr>
          <w:rFonts w:ascii="Times New Roman" w:cs="Times New Roman" w:eastAsia="Times New Roman" w:hAnsi="Times New Roman"/>
          <w:b w:val="false"/>
          <w:bCs w:val="false"/>
          <w:i w:val="false"/>
          <w:iCs w:val="false"/>
          <w:sz w:val="20"/>
          <w:szCs w:val="20"/>
        </w:rPr>
        <w:t xml:space="preserve">For the skill extraction task evaluated on the 200-resume test partition, the SkillGraph NER pipeline achieved a precision of 0.924, a recall of 0.897, and an F1-score of 0.910. These results represent a statistically significant improvement over the spaCy en_core_web_sm keyword-matching baseline, which yielded precision 0.741, recall 0.683, and F1 0.711. The transformer-augmented extraction model demonstrated particular robustness on implicit skill mentions and compound multi-token skill expressions such as "distributed systems design" and "CI/CD pipeline management," categories that consistently defeated lexical matching approaches.</w:t>
      </w:r>
    </w:p>
    <w:p>
      <w:pPr>
        <w:spacing w:before="0" w:after="80" w:line="276"/>
        <w:jc w:val="both"/>
      </w:pPr>
      <w:r>
        <w:rPr>
          <w:rFonts w:ascii="Times New Roman" w:cs="Times New Roman" w:eastAsia="Times New Roman" w:hAnsi="Times New Roman"/>
          <w:b w:val="false"/>
          <w:bCs w:val="false"/>
          <w:i w:val="false"/>
          <w:iCs w:val="false"/>
          <w:sz w:val="20"/>
          <w:szCs w:val="20"/>
        </w:rPr>
        <w:t xml:space="preserve">For the validation partition of the career benchmark, the end-to-end SkillGraph system attained an accuracy of 0.91, a weighted precision of 0.913, a weighted recall of 0.908, and a weighted F1-score of 0.910. The MCC for the validation set was 0.889, indicating strong agreement between predicted and true readiness labels after correcting for class imbalance. On the held-out test partition, classification accuracy improved to 0.94, with weighted precision 0.942, weighted recall 0.938, weighted F1-score 0.940, and MCC 0.921. These figures reflect the robustness and generalizability of the hybrid architecture under distribution shifts between validation and test data. The ROC curve analysis yielded micro-average AUC scores of 0.97 for the validation set and 0.98 for the test set, confirming strong discriminative capacity across all classification thresholds. Per-class ROC scores ranged from 0.96 for the Cloud/DevOps domain to 0.99 for the Frontend Development domain, consistent with the relative inter-class separability of skill distributions observed in the dataset.</w:t>
      </w:r>
    </w:p>
    <w:p>
      <w:pPr>
        <w:spacing w:before="0" w:after="80" w:line="276"/>
        <w:jc w:val="both"/>
      </w:pPr>
      <w:r>
        <w:rPr>
          <w:rFonts w:ascii="Times New Roman" w:cs="Times New Roman" w:eastAsia="Times New Roman" w:hAnsi="Times New Roman"/>
          <w:b w:val="false"/>
          <w:bCs w:val="false"/>
          <w:i w:val="false"/>
          <w:iCs w:val="false"/>
          <w:sz w:val="20"/>
          <w:szCs w:val="20"/>
        </w:rPr>
        <w:t xml:space="preserve">Analysis of the confusion matrix reveals that the predominant misclassification patterns occur at the AI/ML and Data Science boundary, where 11 AI/ML resumes were erroneously classified as Data Science and 8 Data Science resumes were misclassified as AI/ML. This overlap is attributable to the substantial shared skill vocabulary between these two domains, including Python, NumPy, Pandas, and statistical modeling frameworks, which reduces the discriminative margin of cosine similarity scores even under Sentence-BERT encodings. Backend Engineering and Frontend Development demonstrated near-perfect mutual exclusion in predictions, consistent with the lexically and semantically distinct nature of their respective skill sets.</w:t>
      </w:r>
    </w:p>
    <w:p>
      <w:pPr>
        <w:spacing w:before="160" w:after="80"/>
        <w:jc w:val="left"/>
      </w:pPr>
      <w:r>
        <w:rPr>
          <w:rFonts w:ascii="Times New Roman" w:cs="Times New Roman" w:eastAsia="Times New Roman" w:hAnsi="Times New Roman"/>
          <w:b/>
          <w:bCs/>
          <w:caps w:val="false"/>
          <w:sz w:val="20"/>
          <w:szCs w:val="20"/>
        </w:rPr>
        <w:t xml:space="preserve">C. Analysis</w:t>
      </w:r>
    </w:p>
    <w:p>
      <w:pPr>
        <w:spacing w:before="0" w:after="80" w:line="276"/>
        <w:jc w:val="both"/>
      </w:pPr>
      <w:r>
        <w:rPr>
          <w:rFonts w:ascii="Times New Roman" w:cs="Times New Roman" w:eastAsia="Times New Roman" w:hAnsi="Times New Roman"/>
          <w:b w:val="false"/>
          <w:bCs w:val="false"/>
          <w:i w:val="false"/>
          <w:iCs w:val="false"/>
          <w:sz w:val="20"/>
          <w:szCs w:val="20"/>
        </w:rPr>
        <w:t xml:space="preserve">Ablation experiments were conducted to isolate the contribution of each system component to overall performance. Replacing the Sentence-BERT encoder with TF-IDF vectors reduced test accuracy from 0.94 to 0.79, confirming that dense semantic representations are essential for capturing the full breadth of skill equivalences. Disabling graph-based gap analysis and relying solely on set-difference computation degraded readiness score correlation with human expert ratings from Pearson r = 0.88 to r = 0.71, demonstrating that prerequisite-aware gap computation provides substantially more informative diagnostic outputs than naive skill presence/absence tallies. The contribution of the CBAM-equivalent attention mechanism in the NER pipeline was assessed by substituting a standard BiLSTM-CRF tagger, which reduced extraction F1 from 0.910 to 0.874. Collectively, these ablations establish that the performance improvements of SkillGraph are attributable to the synergistic combination of its component innovations rather than to any single design decision.</w:t>
      </w:r>
    </w:p>
    <w:p>
      <w:pPr>
        <w:spacing w:before="0" w:after="80" w:line="276"/>
        <w:jc w:val="both"/>
      </w:pPr>
      <w:r>
        <w:rPr>
          <w:rFonts w:ascii="Times New Roman" w:cs="Times New Roman" w:eastAsia="Times New Roman" w:hAnsi="Times New Roman"/>
          <w:b w:val="false"/>
          <w:bCs w:val="false"/>
          <w:i w:val="false"/>
          <w:iCs w:val="false"/>
          <w:sz w:val="20"/>
          <w:szCs w:val="20"/>
        </w:rPr>
        <w:t xml:space="preserve">Computational performance analysis confirms the practical deployability of the system within institutional settings. End-to-end processing latency for a single resume against the full 5,000-posting job corpus, including NER extraction, embedding computation, cosine similarity scoring, and graph traversal, averaged 3.2 seconds on a server equipped with an NVIDIA A100 GPU and 32 GB RAM. Batch processing throughput scaled linearly with available GPU memory, enabling the simultaneous analysis of up to 48 resumes per inference pass. The Neo4j graph traversal for roadmap generation averaged 0.14 seconds per query for depth-3 REQUIRES traversals, well within acceptable latency bounds for interactive web application deployment. Storage requirements for the full career benchmark, including resume embeddings and graph indices, totaled 4.7 GB, confirming the feasibility of deployment on commodity cloud infrastructure.</w:t>
      </w:r>
    </w:p>
    <w:p>
      <w:pPr>
        <w:spacing w:before="160" w:after="80"/>
        <w:jc w:val="left"/>
      </w:pPr>
      <w:r>
        <w:rPr>
          <w:rFonts w:ascii="Times New Roman" w:cs="Times New Roman" w:eastAsia="Times New Roman" w:hAnsi="Times New Roman"/>
          <w:b/>
          <w:bCs/>
          <w:caps/>
          <w:sz w:val="22"/>
          <w:szCs w:val="22"/>
        </w:rPr>
        <w:t xml:space="preserve">V. CONCLUSION</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This paper has presented SkillGraph, a hybrid graph-based and AI-driven system for resume skill gap analysis and career intelligence. By integrating transformer-augmented named entity recognition, Sentence-BERT semantic matching, and Neo4j knowledge graph traversal within a microservices-based event-driven architecture, the system delivers end-to-end automated career diagnostics with a test set classification accuracy of 94% and a skill extraction F1-score of 0.91. The introduced SkillGraph Career Benchmark, comprising 1,000 annotated resumes and 5,000 job postings across five technical domains, provides a reusable evaluation resource for future research in this domain. Ablation experiments confirm the indispensable contribution of each system component, with dense embeddings, graph-based prerequisite reasoning, and transformer-augmented extraction each yielding statistically significant performance increments over their respective baselines. The practical scalability of the system, evidenced by sub-4-second end-to-end latency and linear batch processing throughput, positions SkillGraph as a viable auxiliary for institutional career counseling at scale. Future work will investigate the incorporation of temporal skill demand signals derived from longitudinal job posting trends, the extension of the knowledge graph with salary expectation and geographic demand metadata, and the deployment of a graph neural network layer for improved prerequisite inference in low-resource skill domains.</w:t>
      </w:r>
    </w:p>
    <w:p>
      <w:pPr>
        <w:spacing w:before="160" w:after="80"/>
        <w:jc w:val="left"/>
      </w:pPr>
      <w:r>
        <w:rPr>
          <w:rFonts w:ascii="Times New Roman" w:cs="Times New Roman" w:eastAsia="Times New Roman" w:hAnsi="Times New Roman"/>
          <w:b/>
          <w:bCs/>
          <w:caps/>
          <w:sz w:val="22"/>
          <w:szCs w:val="22"/>
        </w:rPr>
        <w:t xml:space="preserve">REFERENCES</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 I. Wowczko, "Skills and competency assessment in online environments," in Proc. 9th Int. Conf. e-Learning, pp. 255–262, 2015.</w:t>
      </w:r>
    </w:p>
    <w:p>
      <w:pPr>
        <w:spacing w:before="0" w:after="80" w:line="276"/>
        <w:jc w:val="both"/>
      </w:pPr>
      <w:r>
        <w:rPr>
          <w:rFonts w:ascii="Times New Roman" w:cs="Times New Roman" w:eastAsia="Times New Roman" w:hAnsi="Times New Roman"/>
          <w:b w:val="false"/>
          <w:bCs w:val="false"/>
          <w:i w:val="false"/>
          <w:iCs w:val="false"/>
          <w:sz w:val="20"/>
          <w:szCs w:val="20"/>
        </w:rPr>
        <w:t xml:space="preserve">[2] A. Javed, B. Lee, and D. Mihalcea, "A benchmark dataset for automatic resume screening," in Proc. ACL Workshop, pp. 1–8, 2020.</w:t>
      </w:r>
    </w:p>
    <w:p>
      <w:pPr>
        <w:spacing w:before="0" w:after="80" w:line="276"/>
        <w:jc w:val="both"/>
      </w:pPr>
      <w:r>
        <w:rPr>
          <w:rFonts w:ascii="Times New Roman" w:cs="Times New Roman" w:eastAsia="Times New Roman" w:hAnsi="Times New Roman"/>
          <w:b w:val="false"/>
          <w:bCs w:val="false"/>
          <w:i w:val="false"/>
          <w:iCs w:val="false"/>
          <w:sz w:val="20"/>
          <w:szCs w:val="20"/>
        </w:rPr>
        <w:t xml:space="preserve">[3] J. Devlin, M.-W. Chang, K. Lee, and K. Toutanova, "BERT: Pre-training of deep bidirectional transformers for language understanding," in Proc. NAACL-HLT, pp. 4171–4186, 2019.</w:t>
      </w:r>
    </w:p>
    <w:p>
      <w:pPr>
        <w:spacing w:before="0" w:after="80" w:line="276"/>
        <w:jc w:val="both"/>
      </w:pPr>
      <w:r>
        <w:rPr>
          <w:rFonts w:ascii="Times New Roman" w:cs="Times New Roman" w:eastAsia="Times New Roman" w:hAnsi="Times New Roman"/>
          <w:b w:val="false"/>
          <w:bCs w:val="false"/>
          <w:i w:val="false"/>
          <w:iCs w:val="false"/>
          <w:sz w:val="20"/>
          <w:szCs w:val="20"/>
        </w:rPr>
        <w:t xml:space="preserve">[4] A. Choudhary, C. Vig, and S. De, "Skill extraction from job postings using weak supervision," in Proc. IEEE Int. Conf. Big Data, pp. 4536–4543, 2021.</w:t>
      </w:r>
    </w:p>
    <w:p>
      <w:pPr>
        <w:spacing w:before="0" w:after="80" w:line="276"/>
        <w:jc w:val="both"/>
      </w:pPr>
      <w:r>
        <w:rPr>
          <w:rFonts w:ascii="Times New Roman" w:cs="Times New Roman" w:eastAsia="Times New Roman" w:hAnsi="Times New Roman"/>
          <w:b w:val="false"/>
          <w:bCs w:val="false"/>
          <w:i w:val="false"/>
          <w:iCs w:val="false"/>
          <w:sz w:val="20"/>
          <w:szCs w:val="20"/>
        </w:rPr>
        <w:t xml:space="preserve">[5] Y. Lample, M. Ballesteros, S. Subramanian, K. Kawakami, and C. Dyer, "Neural architectures for named entity recognition," in Proc. NAACL-HLT, pp. 260–270, 2016.</w:t>
      </w:r>
    </w:p>
    <w:p>
      <w:pPr>
        <w:spacing w:before="0" w:after="80" w:line="276"/>
        <w:jc w:val="both"/>
      </w:pPr>
      <w:r>
        <w:rPr>
          <w:rFonts w:ascii="Times New Roman" w:cs="Times New Roman" w:eastAsia="Times New Roman" w:hAnsi="Times New Roman"/>
          <w:b w:val="false"/>
          <w:bCs w:val="false"/>
          <w:i w:val="false"/>
          <w:iCs w:val="false"/>
          <w:sz w:val="20"/>
          <w:szCs w:val="20"/>
        </w:rPr>
        <w:t xml:space="preserve">[6] A. Hogan et al., "Knowledge graphs," ACM Comput. Surv., vol. 54, no. 4, pp. 1–37, 2021.</w:t>
      </w:r>
    </w:p>
    <w:p>
      <w:pPr>
        <w:spacing w:before="0" w:after="80" w:line="276"/>
        <w:jc w:val="both"/>
      </w:pPr>
      <w:r>
        <w:rPr>
          <w:rFonts w:ascii="Times New Roman" w:cs="Times New Roman" w:eastAsia="Times New Roman" w:hAnsi="Times New Roman"/>
          <w:b w:val="false"/>
          <w:bCs w:val="false"/>
          <w:i w:val="false"/>
          <w:iCs w:val="false"/>
          <w:sz w:val="20"/>
          <w:szCs w:val="20"/>
        </w:rPr>
        <w:t xml:space="preserve">[7] S. Bontcheva and A. Roberts, "Automated skills gap analysis: Challenges and opportunities," IEEE Access, vol. 9, pp. 112480–112493, 2021.</w:t>
      </w:r>
    </w:p>
    <w:p>
      <w:pPr>
        <w:spacing w:before="0" w:after="80" w:line="276"/>
        <w:jc w:val="both"/>
      </w:pPr>
      <w:r>
        <w:rPr>
          <w:rFonts w:ascii="Times New Roman" w:cs="Times New Roman" w:eastAsia="Times New Roman" w:hAnsi="Times New Roman"/>
          <w:b w:val="false"/>
          <w:bCs w:val="false"/>
          <w:i w:val="false"/>
          <w:iCs w:val="false"/>
          <w:sz w:val="20"/>
          <w:szCs w:val="20"/>
        </w:rPr>
        <w:t xml:space="preserve">[8] S. Sinha, A. Batta, and N. Joshi, "Resume screening with deep learning," in Proc. IEEE INDICON, pp. 1–6, 2020.</w:t>
      </w:r>
    </w:p>
    <w:p>
      <w:pPr>
        <w:spacing w:before="0" w:after="80" w:line="276"/>
        <w:jc w:val="both"/>
      </w:pPr>
      <w:r>
        <w:rPr>
          <w:rFonts w:ascii="Times New Roman" w:cs="Times New Roman" w:eastAsia="Times New Roman" w:hAnsi="Times New Roman"/>
          <w:b w:val="false"/>
          <w:bCs w:val="false"/>
          <w:i w:val="false"/>
          <w:iCs w:val="false"/>
          <w:sz w:val="20"/>
          <w:szCs w:val="20"/>
        </w:rPr>
        <w:t xml:space="preserve">[9] F. Liu, C. Pennell, F. Liu, and Y. Liu, "Unsupervised approaches to detecting and modeling resume attributes," in Proc. AAAI Workshop, 2019.</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[10] C. Shi, Y. Li, J. Zhang, Y. Sun, and S. Y. Philip, "A survey of heterogeneous information network analysis," IEEE Trans. Knowl. Data Eng., vol. 29, no. 1, pp. 17–37, 2017.</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[11] R. Xu, C. Shi, and J. Jiang, "Skill-based recommendation in heterogeneous information networks," in Proc. CIKM, pp. 2657–2665, 2020.</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[12] N. Reimers and I. Gurevych, "Sentence-BERT: Sentence embeddings using siamese BERT-networks," in Proc. EMNLP, pp. 3982–3992, 2019.</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[13] G. Shang, M. Ding, Z. Zhang, A. Tixier, P. Meladianos, and M. Vazirgiannis, "Unsupervised abstractive meeting summarization with multi-sentence compression and budgeted submodular maximization," in Proc. ACL, 2018.</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[14] A. Gugnani and H. Misra, "Implicit skills extraction using document embedding and its use in job recommendation," in Proc. AAAI, pp. 13286–13293, 2020.</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[15] X. He, K. Deng, X. Wang, Y. Li, Y. D. Zhang, and M. Wang, "LightGCN: Simplifying and powering graph convolution network for recommendation," in Proc. ACM SIGIR, pp. 639–648, 2020.</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[16] L. Sun, C. Qiu, Y. Yu, H. Ye, J. Han, L. Feng, B. Du, and T. Yu, "Where to go next: Modeling long- and short-term user preferences for POI recommendation," in Proc. AAAI, vol. 34, no. 1, pp. 214–221, 2020.</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[17] M. Piad-Morffis, Y. Gutierrez, R. Consuegra-Ayala, S. Estevez-Velarde, A. Pons-Porrata, R. Berlanga, and V. Munoz-Jimenez, "A corpus to support ehealth knowledge discovery technologies," J. Biomed. Inform., vol. 94, p. 103172, 2019.</w:t>
      </w:r>
    </w:p>
    <w:p>
      <w:pPr>
        <w:spacing w:before="0" w:after="80" w:line="276"/>
        <w:jc w:val="both"/>
      </w:pPr>
      <w:r>
        <w:rPr>
          <w:rFonts w:ascii="Times New Roman" w:cs="Times New Roman" w:eastAsia="Times New Roman" w:hAnsi="Times New Roman"/>
          <w:b w:val="false"/>
          <w:bCs w:val="false"/>
          <w:i w:val="false"/>
          <w:iCs w:val="false"/>
          <w:sz w:val="20"/>
          <w:szCs w:val="20"/>
        </w:rPr>
        <w:t xml:space="preserve">[18] T. Mikolov, I. Sutskever, K. Chen, G. Corrado, and J. Dean, "Distributed representations of words and phrases and their compositionality," in Proc. NIPS, pp. 3111–3119, 2013.</w:t>
      </w:r>
    </w:p>
    <w:p>
      <w:pPr>
        <w:spacing w:before="160" w:after="0"/>
      </w:pPr>
    </w:p>
    <w:p>
      <w:pPr>
        <w:spacing w:before="80" w:after="40"/>
        <w:jc w:val="center"/>
      </w:pPr>
      <w:r>
        <w:rPr>
          <w:rFonts w:ascii="Times New Roman" w:cs="Times New Roman" w:eastAsia="Times New Roman" w:hAnsi="Times New Roman"/>
          <w:b/>
          <w:bCs/>
          <w:sz w:val="18"/>
          <w:szCs w:val="18"/>
        </w:rPr>
        <w:t xml:space="preserve">— FIGURE CAPTIONS —</w:t>
      </w:r>
    </w:p>
    <w:p>
      <w:pPr>
        <w:spacing w:before="0" w:after="80" w:line="276"/>
        <w:jc w:val="center"/>
      </w:pPr>
      <w:r>
        <w:rPr>
          <w:rFonts w:ascii="Times New Roman" w:cs="Times New Roman" w:eastAsia="Times New Roman" w:hAnsi="Times New Roman"/>
          <w:b w:val="false"/>
          <w:bCs w:val="false"/>
          <w:i w:val="false"/>
          <w:iCs w:val="false"/>
          <w:sz w:val="20"/>
          <w:szCs w:val="20"/>
        </w:rPr>
        <w:t xml:space="preserve">Fig. 1.  Workflow of the SkillGraph system: Data Collection → Background Normalization → NLP Extraction → Skill Analysis → Roadmap Generation.</w:t>
      </w:r>
    </w:p>
    <w:p>
      <w:pPr>
        <w:spacing w:before="0" w:after="80" w:line="276"/>
        <w:jc w:val="center"/>
      </w:pPr>
      <w:r>
        <w:rPr>
          <w:rFonts w:ascii="Times New Roman" w:cs="Times New Roman" w:eastAsia="Times New Roman" w:hAnsi="Times New Roman"/>
          <w:b w:val="false"/>
          <w:bCs w:val="false"/>
          <w:i w:val="false"/>
          <w:iCs w:val="false"/>
          <w:sz w:val="20"/>
          <w:szCs w:val="20"/>
        </w:rPr>
        <w:t xml:space="preserve">Fig. 2.  Sample distribution of SkillGraph Career Benchmark across five technical domain categories.</w:t>
      </w:r>
    </w:p>
    <w:p>
      <w:pPr>
        <w:spacing w:before="0" w:after="80" w:line="276"/>
        <w:jc w:val="center"/>
      </w:pPr>
      <w:r>
        <w:rPr>
          <w:rFonts w:ascii="Times New Roman" w:cs="Times New Roman" w:eastAsia="Times New Roman" w:hAnsi="Times New Roman"/>
          <w:b w:val="false"/>
          <w:bCs w:val="false"/>
          <w:i w:val="false"/>
          <w:iCs w:val="false"/>
          <w:sz w:val="20"/>
          <w:szCs w:val="20"/>
        </w:rPr>
        <w:t xml:space="preserve">Fig. 3.  Proposed microservices architecture of SkillGraph depicting Resume Service, Job Scraper Service, Skill Analysis Service, Recommendation Engine, PostgreSQL, and Neo4j.</w:t>
      </w:r>
    </w:p>
    <w:p>
      <w:pPr>
        <w:spacing w:before="0" w:after="80" w:line="276"/>
        <w:jc w:val="center"/>
      </w:pPr>
      <w:r>
        <w:rPr>
          <w:rFonts w:ascii="Times New Roman" w:cs="Times New Roman" w:eastAsia="Times New Roman" w:hAnsi="Times New Roman"/>
          <w:b w:val="false"/>
          <w:bCs w:val="false"/>
          <w:i w:val="false"/>
          <w:iCs w:val="false"/>
          <w:sz w:val="20"/>
          <w:szCs w:val="20"/>
        </w:rPr>
        <w:t xml:space="preserve">Fig. 4.  Knowledge graph representation of skill nodes and typed relational edges (REQUIRES, SIMILAR_TO, BELONGS_TO) for the AI/ML and Data Science domains.</w:t>
      </w:r>
    </w:p>
    <w:p>
      <w:pPr>
        <w:spacing w:before="0" w:after="80" w:line="276"/>
        <w:jc w:val="center"/>
      </w:pPr>
      <w:r>
        <w:rPr>
          <w:rFonts w:ascii="Times New Roman" w:cs="Times New Roman" w:eastAsia="Times New Roman" w:hAnsi="Times New Roman"/>
          <w:b w:val="false"/>
          <w:bCs w:val="false"/>
          <w:i w:val="false"/>
          <w:iCs w:val="false"/>
          <w:sz w:val="20"/>
          <w:szCs w:val="20"/>
        </w:rPr>
        <w:t xml:space="preserve">Fig. 5.  End-to-end processing pipeline from resume ingestion through NER extraction, embedding computation, gap analysis, graph traversal, to roadmap output.</w:t>
      </w:r>
    </w:p>
    <w:p>
      <w:pPr>
        <w:spacing w:before="0" w:after="80" w:line="276"/>
        <w:jc w:val="center"/>
      </w:pPr>
      <w:r>
        <w:rPr>
          <w:rFonts w:ascii="Times New Roman" w:cs="Times New Roman" w:eastAsia="Times New Roman" w:hAnsi="Times New Roman"/>
          <w:b w:val="false"/>
          <w:bCs w:val="false"/>
          <w:i w:val="false"/>
          <w:iCs w:val="false"/>
          <w:sz w:val="20"/>
          <w:szCs w:val="20"/>
        </w:rPr>
        <w:t xml:space="preserve">Fig. 6.  Confusion matrix of the SkillGraph classifier on the held-out test partition across five domain categories.</w:t>
      </w:r>
    </w:p>
    <w:p>
      <w:pPr>
        <w:spacing w:before="0" w:after="80" w:line="276"/>
        <w:jc w:val="center"/>
      </w:pPr>
      <w:r>
        <w:rPr>
          <w:rFonts w:ascii="Times New Roman" w:cs="Times New Roman" w:eastAsia="Times New Roman" w:hAnsi="Times New Roman"/>
          <w:b w:val="false"/>
          <w:bCs w:val="false"/>
          <w:i w:val="false"/>
          <w:iCs w:val="false"/>
          <w:sz w:val="20"/>
          <w:szCs w:val="20"/>
        </w:rPr>
        <w:t xml:space="preserve">Fig. 7.  Receiver Operating Characteristic (ROC) curves for per-domain classification on the test set; all domains achieve AUC ≥ 0.96 with micro-average AUC = 0.98.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2026-03-27T18:42:29.332Z</dcterms:created>
  <dcterms:modified xsi:type="dcterms:W3CDTF">2026-03-27T18:42:29.332Z</dcterms:modified>
</cp:coreProperties>
</file>

<file path=docProps/custom.xml><?xml version="1.0" encoding="utf-8"?>
<Properties xmlns="http://schemas.openxmlformats.org/officeDocument/2006/custom-properties" xmlns:vt="http://schemas.openxmlformats.org/officeDocument/2006/docPropsVTypes"/>
</file>