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val="false"/>
          <w:bCs w:val="false"/>
          <w:sz w:val="28"/>
          <w:szCs w:val="28"/>
        </w:rPr>
        <w:t xml:space="preserve">SkillGraph: An Autonomous Career Intelligence Ecosystem for Bridging the Employability Gap in Indian Engineering Education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1st </w:t>
            </w:r>
            <w:r>
              <w:rPr>
                <w:rFonts w:ascii="Times New Roman" w:cs="Times New Roman" w:eastAsia="Times New Roman" w:hAnsi="Times New Roman"/>
                <w:b w:val="false"/>
                <w:bCs w:val="false"/>
                <w:i/>
                <w:iCs/>
                <w:color w:val="000000"/>
                <w:sz w:val="20"/>
                <w:szCs w:val="20"/>
              </w:rPr>
              <w:t xml:space="preserve">Akash Singhal</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Dept. of Computer Science &amp; Engineering</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[University Name]</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[City, Country]</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gsaakash@outlook.com</w:t>
            </w:r>
          </w:p>
        </w:tc>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2nd </w:t>
            </w:r>
            <w:r>
              <w:rPr>
                <w:rFonts w:ascii="Times New Roman" w:cs="Times New Roman" w:eastAsia="Times New Roman" w:hAnsi="Times New Roman"/>
                <w:b w:val="false"/>
                <w:bCs w:val="false"/>
                <w:i/>
                <w:iCs/>
                <w:color w:val="000000"/>
                <w:sz w:val="20"/>
                <w:szCs w:val="20"/>
              </w:rPr>
              <w:t xml:space="preserve">[Co-Author 2]</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Dept. of Computer Science &amp; Engineering</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[University Name]</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[City, Country]</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[email@domain.edu]</w:t>
            </w:r>
          </w:p>
        </w:tc>
        <w:tc>
          <w:tcPr>
            <w:tcW w:type="dxa" w:w="3120"/>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before="0"/>
              <w:jc w:val="center"/>
            </w:pPr>
            <w:r>
              <w:rPr>
                <w:rFonts w:ascii="Times New Roman" w:cs="Times New Roman" w:eastAsia="Times New Roman" w:hAnsi="Times New Roman"/>
                <w:b w:val="false"/>
                <w:bCs w:val="false"/>
                <w:i w:val="false"/>
                <w:iCs w:val="false"/>
                <w:color w:val="000000"/>
                <w:sz w:val="18"/>
                <w:szCs w:val="18"/>
              </w:rPr>
              <w:t xml:space="preserve">3rd </w:t>
            </w:r>
            <w:r>
              <w:rPr>
                <w:rFonts w:ascii="Times New Roman" w:cs="Times New Roman" w:eastAsia="Times New Roman" w:hAnsi="Times New Roman"/>
                <w:b w:val="false"/>
                <w:bCs w:val="false"/>
                <w:i/>
                <w:iCs/>
                <w:color w:val="000000"/>
                <w:sz w:val="20"/>
                <w:szCs w:val="20"/>
              </w:rPr>
              <w:t xml:space="preserve">[Co-Author 3]</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Dept. of Computer Science &amp; Engineering</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[University Name]</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[City, Country]</w:t>
            </w:r>
          </w:p>
          <w:p>
            <w:pPr>
              <w:spacing w:after="0" w:before="0"/>
              <w:jc w:val="center"/>
            </w:pPr>
            <w:r>
              <w:rPr>
                <w:rFonts w:ascii="Times New Roman" w:cs="Times New Roman" w:eastAsia="Times New Roman" w:hAnsi="Times New Roman"/>
                <w:b w:val="false"/>
                <w:bCs w:val="false"/>
                <w:i w:val="false"/>
                <w:iCs w:val="false"/>
                <w:color w:val="000000"/>
                <w:sz w:val="16"/>
                <w:szCs w:val="16"/>
              </w:rPr>
              <w:t xml:space="preserve">[email@domain.edu]</w:t>
            </w:r>
          </w:p>
        </w:tc>
      </w:tr>
    </w:tbl>
    <w:p>
      <w:pPr>
        <w:spacing w:after="0" w:before="0" w:line="240"/>
      </w:pPr>
      <w:r>
        <w:rPr>
          <w:sz w:val="40"/>
          <w:szCs w:val="40"/>
        </w:rPr>
        <w:t xml:space="preserve"/>
      </w:r>
    </w:p>
    <w:p>
      <w:pPr>
        <w:spacing w:after="0" w:before="60" w:line="240"/>
        <w:ind w:left="720" w:right="720"/>
        <w:jc w:val="both"/>
      </w:pPr>
      <w:r>
        <w:rPr>
          <w:rFonts w:ascii="Times New Roman" w:cs="Times New Roman" w:eastAsia="Times New Roman" w:hAnsi="Times New Roman"/>
          <w:b w:val="false"/>
          <w:bCs w:val="false"/>
          <w:i/>
          <w:iCs/>
          <w:color w:val="000000"/>
          <w:sz w:val="20"/>
          <w:szCs w:val="20"/>
        </w:rPr>
        <w:t xml:space="preserve">Abstract—</w:t>
      </w:r>
      <w:r>
        <w:rPr>
          <w:rFonts w:ascii="Times New Roman" w:cs="Times New Roman" w:eastAsia="Times New Roman" w:hAnsi="Times New Roman"/>
          <w:b w:val="false"/>
          <w:bCs w:val="false"/>
          <w:i w:val="false"/>
          <w:iCs w:val="false"/>
          <w:color w:val="000000"/>
          <w:sz w:val="20"/>
          <w:szCs w:val="20"/>
        </w:rPr>
        <w:t xml:space="preserve">India's engineering education system produces over 1.5 million graduates each year, yet fewer than one in five possess the technical competencies required for immediate employment in software roles. The tools available to these students—generic job portals, static resume submissions, and under-resourced university placement cells—are ill-equipped to close a gap that is structural rather than superficial. This paper presents SkillGraph, a full-stack AI-driven career intelligence platform built on the Next.js 16 App Router with a PostgreSQL backend and Groq's Llama-3.3-70B inference engine. The platform integrates five mutually reinforcing modules: (i) a live skill gap analyser that parses individual resumes against a real-time job posting corpus and produces urgency-ranked gap diagnostics; (ii) a personalised 7-Day Sprint engine that generates role-specific learning missions with verified resource links; (iii) OpenClaw, a session-authenticated autonomous application agent that operates across Naukri, LinkedIn, Glassdoor, and Indeed using stealth Playwright automation; (iv) a high-fidelity resume builder with per-job AI customisation confined strictly to the summary section; and (v) a Faculty Placement Cell OS that gives institutional coordinators a real-time cohort intelligence dashboard. Pilot evaluation over 30 days with an engineering student cohort demonstrated a 23.4-point gain in mean ATS score, a 91% reduction in per-application time, and a 83.6% first-attempt submission success rate for the OpenClaw agent. SkillGraph is released as an open-source project (MIT licence) and is designed to be self-hosted by universities seeking to replace legacy placement portal dependencies.</w:t>
      </w:r>
    </w:p>
    <w:p>
      <w:pPr>
        <w:spacing w:after="60" w:before="40" w:line="240"/>
        <w:ind w:left="720" w:right="720"/>
        <w:jc w:val="both"/>
      </w:pPr>
      <w:r>
        <w:rPr>
          <w:rFonts w:ascii="Times New Roman" w:cs="Times New Roman" w:eastAsia="Times New Roman" w:hAnsi="Times New Roman"/>
          <w:b w:val="false"/>
          <w:bCs w:val="false"/>
          <w:i/>
          <w:iCs/>
          <w:color w:val="000000"/>
          <w:sz w:val="20"/>
          <w:szCs w:val="20"/>
        </w:rPr>
        <w:t xml:space="preserve">Index Terms—</w:t>
      </w:r>
      <w:r>
        <w:rPr>
          <w:rFonts w:ascii="Times New Roman" w:cs="Times New Roman" w:eastAsia="Times New Roman" w:hAnsi="Times New Roman"/>
          <w:b w:val="false"/>
          <w:bCs w:val="false"/>
          <w:i/>
          <w:iCs/>
          <w:color w:val="000000"/>
          <w:sz w:val="20"/>
          <w:szCs w:val="20"/>
        </w:rPr>
        <w:t xml:space="preserve">Career intelligence, skill gap analysis, autonomous job application, LLM, placement automation, Indian engineering education, ATS optimisation, Playwright browser automation, sprint-based learning, faculty placement OS.</w:t>
      </w:r>
    </w:p>
    <w:p>
      <w:pPr>
        <w:pBdr>
          <w:bottom w:val="single" w:color="000000" w:sz="4" w:space="1"/>
        </w:pBdr>
        <w:spacing w:after="0" w:before="0"/>
      </w:pPr>
    </w:p>
    <w:p>
      <w:pPr>
        <w:spacing w:after="0" w:before="0" w:line="240"/>
      </w:pPr>
      <w:r>
        <w:rPr>
          <w:sz w:val="40"/>
          <w:szCs w:val="40"/>
        </w:rPr>
        <w:t xml:space="preserve"/>
      </w:r>
    </w:p>
    <w:p>
      <w:pPr>
        <w:sectPr>
          <w:footerReference w:type="default" r:id="rId7"/>
          <w:pgSz w:w="12240" w:h="15840" w:orient="portrait"/>
          <w:pgMar w:top="1080" w:right="900" w:bottom="1440" w:left="900" w:header="708" w:footer="708" w:gutter="0"/>
          <w:pgNumType/>
          <w:docGrid w:linePitch="360"/>
        </w:sectPr>
      </w:pPr>
    </w:p>
    <w:p>
      <w:pPr>
        <w:spacing w:after="60" w:before="120"/>
        <w:jc w:val="center"/>
      </w:pPr>
      <w:r>
        <w:rPr>
          <w:rFonts w:ascii="Times New Roman" w:cs="Times New Roman" w:eastAsia="Times New Roman" w:hAnsi="Times New Roman"/>
          <w:b/>
          <w:bCs/>
          <w:smallCaps/>
          <w:sz w:val="20"/>
          <w:szCs w:val="20"/>
        </w:rPr>
        <w:t xml:space="preserve">I. Introduction</w:t>
      </w:r>
    </w:p>
    <w:p>
      <w:pPr>
        <w:spacing w:after="0" w:before="0" w:line="240"/>
        <w:jc w:val="both"/>
      </w:pPr>
      <w:r>
        <w:rPr>
          <w:rFonts w:ascii="Times New Roman" w:cs="Times New Roman" w:eastAsia="Times New Roman" w:hAnsi="Times New Roman"/>
          <w:sz w:val="20"/>
          <w:szCs w:val="20"/>
        </w:rPr>
        <w:t xml:space="preserve">There is a peculiar tension at the heart of the Indian engineering talent market. On one side, universities collectively award degrees to over a million computer science and IT graduates every year. On the other, the National Employability Report published by Aspiring Minds [2] has consistently found, across multiple annual cycles, that fewer than 20% of these graduates can be placed in a software role without first undergoing significant remediation. The two numbers should not coexist, and yet they have, stubbornly, for the better part of a decade.</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Explanations for this paradox tend to cluster around three recurring themes. First, the undergraduate curriculum in most Indian institutions lags behind industry adoption by anywhere from two to five years, depending on the domain. A student who graduated in 2024 having studied a web development module grounded in 2019 syllabi would likely encounter job descriptions asking for Next.js, TypeScript, Docker, and containerised microservices — none of which featured meaningfully in their coursework. Second, the feedback mechanisms that might accelerate curriculum correction are weak. Neither the student nor the placement coordinator typically has access to a live, individualised picture of the gap between what the student knows and what a specific job requires. Third, the application process itself is exhausting and poorly instrumented. A student targeting ten to twenty roles per week must craft and tailor each application manually, across multiple portals with inconsistent interfaces, with no reliable way to track whether their applications were received, viewed, or acted upon.</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Existing tools address fragments of this problem in isolation. Job portals such as Naukri [12], Internshala [13], and LinkedIn provide listing aggregation but contribute nothing to the preparation problem. Employability testing platforms such as AMCAT [14] and HireMee [2] provide standardised assessments but do not connect their diagnostic outputs to personalised remediation or to the actual job application pipeline. Learning platforms such as Coursera or NPTEL offer course catalogues but do not ground their recommendations in the student's individual profile or the current week's hiring signals. University placement management tools such as Superset [11] and Jobspire [15] provide institutional workflow automation for placement coordinators, but they function primarily as logistics systems rather than intelligence systems — they manage the process without improving it.</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SkillGraph is designed to close all three gaps simultaneously. Rather than treating skill development, job discovery, and application execution as separate workflows, it treats them as a single continuous loop: the same AI engine that identifies what a student needs to learn also determines which jobs they should apply to, tailors their resume for each, and submits the application with no manual intervention. This paper makes five primary technical contributions:</w:t>
      </w:r>
    </w:p>
    <w:p>
      <w:pPr>
        <w:spacing w:after="0" w:before="0" w:line="240"/>
      </w:pPr>
      <w:r>
        <w:rPr>
          <w:sz w:val="40"/>
          <w:szCs w:val="40"/>
        </w:rPr>
        <w:t xml:space="preserve"/>
      </w:r>
    </w:p>
    <w:p>
      <w:pPr>
        <w:spacing w:after="0" w:before="0" w:line="240"/>
        <w:ind w:left="360" w:hanging="260"/>
        <w:jc w:val="both"/>
      </w:pPr>
      <w:r>
        <w:rPr>
          <w:rFonts w:ascii="Times New Roman" w:cs="Times New Roman" w:eastAsia="Times New Roman" w:hAnsi="Times New Roman"/>
          <w:b/>
          <w:bCs/>
          <w:i w:val="false"/>
          <w:iCs w:val="false"/>
          <w:color w:val="000000"/>
          <w:sz w:val="20"/>
          <w:szCs w:val="20"/>
        </w:rPr>
        <w:t xml:space="preserve">1. </w:t>
      </w:r>
      <w:r>
        <w:rPr>
          <w:rFonts w:ascii="Times New Roman" w:cs="Times New Roman" w:eastAsia="Times New Roman" w:hAnsi="Times New Roman"/>
          <w:b w:val="false"/>
          <w:bCs w:val="false"/>
          <w:i w:val="false"/>
          <w:iCs w:val="false"/>
          <w:color w:val="000000"/>
          <w:sz w:val="20"/>
          <w:szCs w:val="20"/>
        </w:rPr>
        <w:t xml:space="preserve">A live skill gap detection engine that parses resumes with zero-shot LLM prompts, cross-references extracted skills against a real-time job posting corpus, and produces urgency-ranked gap diagnostics with weeks-to-learn estimates.</w:t>
      </w:r>
    </w:p>
    <w:p>
      <w:pPr>
        <w:spacing w:after="0" w:before="0" w:line="240"/>
      </w:pPr>
      <w:r>
        <w:rPr>
          <w:sz w:val="40"/>
          <w:szCs w:val="40"/>
        </w:rPr>
        <w:t xml:space="preserve"/>
      </w:r>
    </w:p>
    <w:p>
      <w:pPr>
        <w:spacing w:after="0" w:before="0" w:line="240"/>
        <w:ind w:left="360" w:hanging="260"/>
        <w:jc w:val="both"/>
      </w:pPr>
      <w:r>
        <w:rPr>
          <w:rFonts w:ascii="Times New Roman" w:cs="Times New Roman" w:eastAsia="Times New Roman" w:hAnsi="Times New Roman"/>
          <w:b/>
          <w:bCs/>
          <w:i w:val="false"/>
          <w:iCs w:val="false"/>
          <w:color w:val="000000"/>
          <w:sz w:val="20"/>
          <w:szCs w:val="20"/>
        </w:rPr>
        <w:t xml:space="preserve">2. </w:t>
      </w:r>
      <w:r>
        <w:rPr>
          <w:rFonts w:ascii="Times New Roman" w:cs="Times New Roman" w:eastAsia="Times New Roman" w:hAnsi="Times New Roman"/>
          <w:b w:val="false"/>
          <w:bCs w:val="false"/>
          <w:i w:val="false"/>
          <w:iCs w:val="false"/>
          <w:color w:val="000000"/>
          <w:sz w:val="20"/>
          <w:szCs w:val="20"/>
        </w:rPr>
        <w:t xml:space="preserve">A personalised 7-Day Sprint engine that converts a gap profile into a day-by-day learning mission with role-specific resource links, checkpoint tasks, and a resilient fallback mechanism for broken URLs.</w:t>
      </w:r>
    </w:p>
    <w:p>
      <w:pPr>
        <w:spacing w:after="0" w:before="0" w:line="240"/>
      </w:pPr>
      <w:r>
        <w:rPr>
          <w:sz w:val="40"/>
          <w:szCs w:val="40"/>
        </w:rPr>
        <w:t xml:space="preserve"/>
      </w:r>
    </w:p>
    <w:p>
      <w:pPr>
        <w:spacing w:after="0" w:before="0" w:line="240"/>
        <w:ind w:left="360" w:hanging="260"/>
        <w:jc w:val="both"/>
      </w:pPr>
      <w:r>
        <w:rPr>
          <w:rFonts w:ascii="Times New Roman" w:cs="Times New Roman" w:eastAsia="Times New Roman" w:hAnsi="Times New Roman"/>
          <w:b/>
          <w:bCs/>
          <w:i w:val="false"/>
          <w:iCs w:val="false"/>
          <w:color w:val="000000"/>
          <w:sz w:val="20"/>
          <w:szCs w:val="20"/>
        </w:rPr>
        <w:t xml:space="preserve">3. </w:t>
      </w:r>
      <w:r>
        <w:rPr>
          <w:rFonts w:ascii="Times New Roman" w:cs="Times New Roman" w:eastAsia="Times New Roman" w:hAnsi="Times New Roman"/>
          <w:b w:val="false"/>
          <w:bCs w:val="false"/>
          <w:i w:val="false"/>
          <w:iCs w:val="false"/>
          <w:color w:val="000000"/>
          <w:sz w:val="20"/>
          <w:szCs w:val="20"/>
        </w:rPr>
        <w:t xml:space="preserve">OpenClaw, a multi-platform autonomous application agent built on stealth Playwright browser automation with session-persistence, per-job resume tailoring, and a complete application audit trail.</w:t>
      </w:r>
    </w:p>
    <w:p>
      <w:pPr>
        <w:spacing w:after="0" w:before="0" w:line="240"/>
      </w:pPr>
      <w:r>
        <w:rPr>
          <w:sz w:val="40"/>
          <w:szCs w:val="40"/>
        </w:rPr>
        <w:t xml:space="preserve"/>
      </w:r>
    </w:p>
    <w:p>
      <w:pPr>
        <w:spacing w:after="0" w:before="0" w:line="240"/>
        <w:ind w:left="360" w:hanging="260"/>
        <w:jc w:val="both"/>
      </w:pPr>
      <w:r>
        <w:rPr>
          <w:rFonts w:ascii="Times New Roman" w:cs="Times New Roman" w:eastAsia="Times New Roman" w:hAnsi="Times New Roman"/>
          <w:b/>
          <w:bCs/>
          <w:i w:val="false"/>
          <w:iCs w:val="false"/>
          <w:color w:val="000000"/>
          <w:sz w:val="20"/>
          <w:szCs w:val="20"/>
        </w:rPr>
        <w:t xml:space="preserve">4. </w:t>
      </w:r>
      <w:r>
        <w:rPr>
          <w:rFonts w:ascii="Times New Roman" w:cs="Times New Roman" w:eastAsia="Times New Roman" w:hAnsi="Times New Roman"/>
          <w:b w:val="false"/>
          <w:bCs w:val="false"/>
          <w:i w:val="false"/>
          <w:iCs w:val="false"/>
          <w:color w:val="000000"/>
          <w:sz w:val="20"/>
          <w:szCs w:val="20"/>
        </w:rPr>
        <w:t xml:space="preserve">A high-fidelity ATS resume builder that preserves the student's authentic experience record and applies AI customisation only to the summary section — a "resume-first" design principle that prevents hallucination while still improving keyword alignment.</w:t>
      </w:r>
    </w:p>
    <w:p>
      <w:pPr>
        <w:spacing w:after="0" w:before="0" w:line="240"/>
      </w:pPr>
      <w:r>
        <w:rPr>
          <w:sz w:val="40"/>
          <w:szCs w:val="40"/>
        </w:rPr>
        <w:t xml:space="preserve"/>
      </w:r>
    </w:p>
    <w:p>
      <w:pPr>
        <w:spacing w:after="0" w:before="0" w:line="240"/>
        <w:ind w:left="360" w:hanging="260"/>
        <w:jc w:val="both"/>
      </w:pPr>
      <w:r>
        <w:rPr>
          <w:rFonts w:ascii="Times New Roman" w:cs="Times New Roman" w:eastAsia="Times New Roman" w:hAnsi="Times New Roman"/>
          <w:b/>
          <w:bCs/>
          <w:i w:val="false"/>
          <w:iCs w:val="false"/>
          <w:color w:val="000000"/>
          <w:sz w:val="20"/>
          <w:szCs w:val="20"/>
        </w:rPr>
        <w:t xml:space="preserve">5. </w:t>
      </w:r>
      <w:r>
        <w:rPr>
          <w:rFonts w:ascii="Times New Roman" w:cs="Times New Roman" w:eastAsia="Times New Roman" w:hAnsi="Times New Roman"/>
          <w:b w:val="false"/>
          <w:bCs w:val="false"/>
          <w:i w:val="false"/>
          <w:iCs w:val="false"/>
          <w:color w:val="000000"/>
          <w:sz w:val="20"/>
          <w:szCs w:val="20"/>
        </w:rPr>
        <w:t xml:space="preserve">A Faculty Placement Cell OS that gives university T&amp;P coordinators a cohort skill heatmap, placement KPI dashboard, and campus job posting workflow — a full institutional intelligence layer rather than a simple listing board.</w:t>
      </w:r>
    </w:p>
    <w:p>
      <w:pPr>
        <w:spacing w:after="0" w:before="0" w:line="240"/>
      </w:pPr>
      <w:r>
        <w:rPr>
          <w:sz w:val="80"/>
          <w:szCs w:val="80"/>
        </w:rPr>
        <w:t xml:space="preserve"/>
      </w:r>
    </w:p>
    <w:p>
      <w:pPr>
        <w:spacing w:after="60" w:before="120"/>
        <w:jc w:val="center"/>
      </w:pPr>
      <w:r>
        <w:rPr>
          <w:rFonts w:ascii="Times New Roman" w:cs="Times New Roman" w:eastAsia="Times New Roman" w:hAnsi="Times New Roman"/>
          <w:b/>
          <w:bCs/>
          <w:smallCaps/>
          <w:sz w:val="20"/>
          <w:szCs w:val="20"/>
        </w:rPr>
        <w:t xml:space="preserve">II. Literature Review and Comparative Analysis</w:t>
      </w:r>
    </w:p>
    <w:p>
      <w:pPr>
        <w:spacing w:after="20" w:before="80"/>
        <w:ind w:firstLine="0"/>
        <w:jc w:val="left"/>
      </w:pPr>
      <w:r>
        <w:rPr>
          <w:rFonts w:ascii="Times New Roman" w:cs="Times New Roman" w:eastAsia="Times New Roman" w:hAnsi="Times New Roman"/>
          <w:i/>
          <w:iCs/>
          <w:sz w:val="20"/>
          <w:szCs w:val="20"/>
        </w:rPr>
        <w:t xml:space="preserve">A. The Indian Engineering Employability Crisis: Context and Causes</w:t>
      </w:r>
    </w:p>
    <w:p>
      <w:pPr>
        <w:spacing w:after="0" w:before="0" w:line="240"/>
        <w:ind w:firstLine="284"/>
        <w:jc w:val="both"/>
      </w:pPr>
      <w:r>
        <w:rPr>
          <w:rFonts w:ascii="Times New Roman" w:cs="Times New Roman" w:eastAsia="Times New Roman" w:hAnsi="Times New Roman"/>
          <w:sz w:val="20"/>
          <w:szCs w:val="20"/>
        </w:rPr>
        <w:t xml:space="preserve">The scale of the Indian engineering employability problem is well-documented. NASSCOM's 2024 talent report [1] estimates that the sector will face a shortage of roughly 1.4 million skilled technology professionals by 2027, even as universities continue to produce graduates at scale. Aspiring Minds' National Employability Report [2], which draws on assessments of over 300,000 engineering graduates annually, shows that the proportion of graduates employable in software roles without remediation has remained stubbornly below 20% despite years of industry awareness campaigns.</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Kumar and Sharma [3] offer a useful structural analysis in their systematic review of skill gap literature in Indian engineering education. They identify three distinct layers of mismatch: a knowledge layer (students lack relevant technical content), a fluency layer (students have theoretical exposure but cannot apply skills in realistic contexts), and an awareness layer (students are not informed about which skills are currently in demand). Their conclusion — that survey-based gap analyses are retrospective and coarse-grained — motivates the live, individual-level diagnostic approach SkillGraph adopts. The LinkedIn Economic Graph [4], which analyses aggregated hiring signal across hundreds of millions of job postings, provides the population-level counterpart to this individual view. SkillGraph's novel contribution is the fusion of these two scales: market-level demand signals inform individual-level gap diagnostics in real time.</w:t>
      </w:r>
    </w:p>
    <w:p>
      <w:pPr>
        <w:spacing w:after="0" w:before="0" w:line="240"/>
      </w:pPr>
      <w:r>
        <w:rPr>
          <w:sz w:val="60"/>
          <w:szCs w:val="60"/>
        </w:rPr>
        <w:t xml:space="preserve"/>
      </w:r>
    </w:p>
    <w:p>
      <w:pPr>
        <w:spacing w:after="20" w:before="80"/>
        <w:ind w:firstLine="0"/>
        <w:jc w:val="left"/>
      </w:pPr>
      <w:r>
        <w:rPr>
          <w:rFonts w:ascii="Times New Roman" w:cs="Times New Roman" w:eastAsia="Times New Roman" w:hAnsi="Times New Roman"/>
          <w:i/>
          <w:iCs/>
          <w:sz w:val="20"/>
          <w:szCs w:val="20"/>
        </w:rPr>
        <w:t xml:space="preserve">B. Indian Placement Management Platforms: A Critical Review</w:t>
      </w:r>
    </w:p>
    <w:p>
      <w:pPr>
        <w:spacing w:after="0" w:before="0" w:line="240"/>
        <w:ind w:firstLine="284"/>
        <w:jc w:val="both"/>
      </w:pPr>
      <w:r>
        <w:rPr>
          <w:rFonts w:ascii="Times New Roman" w:cs="Times New Roman" w:eastAsia="Times New Roman" w:hAnsi="Times New Roman"/>
          <w:sz w:val="20"/>
          <w:szCs w:val="20"/>
        </w:rPr>
        <w:t xml:space="preserve">The Indian higher education market hosts a distinct ecosystem of placement management and employability platforms, each targeting a different segment of the problem. Understanding their capabilities and limitations is essential for situating SkillGraph's contribution.</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Superset [11] is the most widely deployed placement management system among Indian institutions, with adoption at over 600 universities. Its core strength is administrative workflow: faculty can manage student profiles, schedule corporate drives, and coordinate offer letters through a centralised interface. However, Superset is fundamentally a process management tool. It does not analyse the skill content of student profiles, does not provide gap diagnostics, and does not assist students with preparation. The student experience on Superset is largely passive — they fill in a profile and wait to be matched.</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HireMee [2] and AMCAT (Aspiring Minds Computer Adaptive Test) [14] take a different approach, focusing on standardised assessment. Both platforms administer adaptive skill tests and provide an "employability score" to students, which companies can use as a screening signal. These systems are genuinely useful for companies seeking to process large candidate volumes efficiently. Their limitation from the student's perspective is the absence of any remediation pathway: a student who scores poorly receives a score but not a roadmap. Moreover, assessments are administered in isolation from real job descriptions, meaning the score is calibrated against a generic benchmark rather than the specific role the student is targeting.</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Unstop [15] (formerly Dare2Compete) has built a strong brand around gamified hiring — hackathons, coding competitions, and campus challenges that serve simultaneously as skill-building activities and talent discovery channels for companies. This approach is clever because it turns preparation into participation. However, Unstop's scope is bounded by the competition format: it works well for students whose target roles involve competitive programming or product development challenges, but it does not serve students targeting data roles, operations roles, or non-technical tracks. It also provides no assistance with the application process itself.</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Internshala [13] occupies a different niche: it is primarily a marketplace for internship and entry-level job listings, with a particular strength in connecting students with startups. It has added learning modules over the years, but these are not connected to the student's individual gap profile. A student is not told "you should take the Python data analysis course because it appears in 67% of the data analyst jobs you are eligible for." The recommendation logic, where it exists, is generic.</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The critical observation across all of these platforms is that none of them closes the loop between gap identification, preparation, and application execution. They are siloed products that each handle one phase of the career journey without handoff to the next. A student must use Superset to manage their institutional placement process, AMCAT to generate an employability signal, Unstop to build a portfolio through competitions, and Naukri or LinkedIn to actually apply for jobs — with no shared intelligence across any of these systems. SkillGraph is designed as the first platform to close this loop end-to-end within a single, unified architecture.</w:t>
      </w:r>
    </w:p>
    <w:p>
      <w:pPr>
        <w:spacing w:after="0" w:before="0" w:line="240"/>
      </w:pPr>
      <w:r>
        <w:rPr>
          <w:sz w:val="60"/>
          <w:szCs w:val="60"/>
        </w:rPr>
        <w:t xml:space="preserve"/>
      </w:r>
    </w:p>
    <w:p>
      <w:pPr>
        <w:spacing w:after="0" w:before="80"/>
        <w:jc w:val="center"/>
      </w:pPr>
      <w:r>
        <w:rPr>
          <w:rFonts w:ascii="Times New Roman" w:cs="Times New Roman" w:eastAsia="Times New Roman" w:hAnsi="Times New Roman"/>
          <w:b/>
          <w:bCs/>
          <w:smallCaps/>
          <w:sz w:val="20"/>
          <w:szCs w:val="20"/>
        </w:rPr>
        <w:t xml:space="preserve">TABLE I</w:t>
      </w:r>
    </w:p>
    <w:p>
      <w:pPr>
        <w:spacing w:after="60" w:before="0"/>
        <w:jc w:val="center"/>
      </w:pPr>
      <w:r>
        <w:rPr>
          <w:rFonts w:ascii="Times New Roman" w:cs="Times New Roman" w:eastAsia="Times New Roman" w:hAnsi="Times New Roman"/>
          <w:b/>
          <w:bCs/>
          <w:smallCaps/>
          <w:sz w:val="20"/>
          <w:szCs w:val="20"/>
        </w:rPr>
        <w:t xml:space="preserve">Comparative Analysis of Placement and Employability Platforms in the Indian Market</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1060"/>
        <w:gridCol w:w="790"/>
        <w:gridCol w:w="790"/>
        <w:gridCol w:w="790"/>
        <w:gridCol w:w="790"/>
        <w:gridCol w:w="790"/>
        <w:gridCol w:w="750"/>
      </w:tblGrid>
      <w:tr>
        <w:tc>
          <w:tcPr>
            <w:tcW w:type="dxa" w:w="106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Feature / Capability</w:t>
            </w:r>
          </w:p>
        </w:tc>
        <w:tc>
          <w:tcPr>
            <w:tcW w:type="dxa" w:w="79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Superset</w:t>
            </w:r>
          </w:p>
        </w:tc>
        <w:tc>
          <w:tcPr>
            <w:tcW w:type="dxa" w:w="79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HireMee</w:t>
            </w:r>
          </w:p>
        </w:tc>
        <w:tc>
          <w:tcPr>
            <w:tcW w:type="dxa" w:w="79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Unstop</w:t>
            </w:r>
          </w:p>
        </w:tc>
        <w:tc>
          <w:tcPr>
            <w:tcW w:type="dxa" w:w="79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AMCAT</w:t>
            </w:r>
          </w:p>
        </w:tc>
        <w:tc>
          <w:tcPr>
            <w:tcW w:type="dxa" w:w="79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Internshala</w:t>
            </w:r>
          </w:p>
        </w:tc>
        <w:tc>
          <w:tcPr>
            <w:tcW w:type="dxa" w:w="75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SkillGraph</w:t>
            </w:r>
          </w:p>
        </w:tc>
      </w:tr>
      <w:tr>
        <w:tc>
          <w:tcPr>
            <w:tcW w:type="dxa" w:w="10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Real-time skill gap analysis</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Partial</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5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 (LLM-powered)</w:t>
            </w:r>
          </w:p>
        </w:tc>
      </w:tr>
      <w:tr>
        <w:tc>
          <w:tcPr>
            <w:tcW w:type="dxa" w:w="10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Personalised learning sprints</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5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 (7-Day Engine)</w:t>
            </w:r>
          </w:p>
        </w:tc>
      </w:tr>
      <w:tr>
        <w:tc>
          <w:tcPr>
            <w:tcW w:type="dxa" w:w="10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Automated job application</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5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 (OpenClaw)</w:t>
            </w:r>
          </w:p>
        </w:tc>
      </w:tr>
      <w:tr>
        <w:tc>
          <w:tcPr>
            <w:tcW w:type="dxa" w:w="10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Session-authenticated bot</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5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 (Playwright)</w:t>
            </w:r>
          </w:p>
        </w:tc>
      </w:tr>
      <w:tr>
        <w:tc>
          <w:tcPr>
            <w:tcW w:type="dxa" w:w="10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LLM-tailored resume per JD</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5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w:t>
            </w:r>
          </w:p>
        </w:tc>
      </w:tr>
      <w:tr>
        <w:tc>
          <w:tcPr>
            <w:tcW w:type="dxa" w:w="10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Faculty cohort dashboard</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 (admin)</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Partial</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5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 (full OS)</w:t>
            </w:r>
          </w:p>
        </w:tc>
      </w:tr>
      <w:tr>
        <w:tc>
          <w:tcPr>
            <w:tcW w:type="dxa" w:w="10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Peer benchmarking (anonymised)</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Partial</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Leaderboard</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5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 (percentile)</w:t>
            </w:r>
          </w:p>
        </w:tc>
      </w:tr>
      <w:tr>
        <w:tc>
          <w:tcPr>
            <w:tcW w:type="dxa" w:w="10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Indian job portal coverage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API only</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Self-only</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AMCAT tests</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Partial</w:t>
            </w:r>
          </w:p>
        </w:tc>
        <w:tc>
          <w:tcPr>
            <w:tcW w:type="dxa" w:w="75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Multi-platform</w:t>
            </w:r>
          </w:p>
        </w:tc>
      </w:tr>
      <w:tr>
        <w:tc>
          <w:tcPr>
            <w:tcW w:type="dxa" w:w="10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Open-source / self-hostable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9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750"/>
            <w:tcBorders>
              <w:top w:val="none" w:color="FFFFFF" w:sz="0"/>
              <w:left w:val="none" w:color="FFFFFF" w:sz="0"/>
              <w:bottom w:val="none" w:color="FFFFFF" w:sz="0"/>
              <w:right w:val="none" w:color="FFFFFF" w:sz="0"/>
            </w:tcBorders>
            <w:shd w:fill="E2EFDA"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 (MIT licence)</w:t>
            </w:r>
          </w:p>
        </w:tc>
      </w:tr>
    </w:tbl>
    <w:p>
      <w:pPr>
        <w:spacing w:after="60" w:before="60"/>
        <w:ind w:firstLine="0"/>
        <w:jc w:val="center"/>
      </w:pPr>
      <w:r>
        <w:rPr>
          <w:rFonts w:ascii="Times New Roman" w:cs="Times New Roman" w:eastAsia="Times New Roman" w:hAnsi="Times New Roman"/>
          <w:sz w:val="18"/>
          <w:szCs w:val="18"/>
        </w:rPr>
        <w:t xml:space="preserve">✓ = Full support, Partial = limited or workflow-only, ✗ = Not available</w:t>
      </w:r>
    </w:p>
    <w:p>
      <w:pPr>
        <w:spacing w:after="0" w:before="0" w:line="240"/>
      </w:pPr>
      <w:r>
        <w:rPr>
          <w:sz w:val="60"/>
          <w:szCs w:val="60"/>
        </w:rPr>
        <w:t xml:space="preserve"/>
      </w:r>
    </w:p>
    <w:p>
      <w:pPr>
        <w:spacing w:after="20" w:before="80"/>
        <w:ind w:firstLine="0"/>
        <w:jc w:val="left"/>
      </w:pPr>
      <w:r>
        <w:rPr>
          <w:rFonts w:ascii="Times New Roman" w:cs="Times New Roman" w:eastAsia="Times New Roman" w:hAnsi="Times New Roman"/>
          <w:i/>
          <w:iCs/>
          <w:sz w:val="20"/>
          <w:szCs w:val="20"/>
        </w:rPr>
        <w:t xml:space="preserve">C. Skill Extraction and Natural Language Processing for Career Intelligence</w:t>
      </w:r>
    </w:p>
    <w:p>
      <w:pPr>
        <w:spacing w:after="0" w:before="0" w:line="240"/>
        <w:ind w:firstLine="284"/>
        <w:jc w:val="both"/>
      </w:pPr>
      <w:r>
        <w:rPr>
          <w:rFonts w:ascii="Times New Roman" w:cs="Times New Roman" w:eastAsia="Times New Roman" w:hAnsi="Times New Roman"/>
          <w:sz w:val="20"/>
          <w:szCs w:val="20"/>
        </w:rPr>
        <w:t xml:space="preserve">The technical problem of extracting structured skill information from unstructured job descriptions and resumes has attracted considerable research attention. Martinez-Gil et al. [10] provide a survey of automated skill extraction approaches, noting that early systems relied on term-matching against curated ontologies such as ESCO (European Skills, Competences, and Occupations) or O*NET. These approaches achieve reasonable recall on well-established skill tokens (Python, Java, SQL) but struggle with emerging technologies and context-dependent competencies. The survey reports F1 scores in the 0.62–0.78 range for ontology-based extraction, compared to 0.81–0.91 for fine-tuned transformer models.</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Zhang et al. [9] analyse a corpus of 500,000 job descriptions from Chinese technology companies and find that temporal dynamics matter significantly: the set of skills appearing in job descriptions shifts measurably on a quarterly basis, meaning that a gap analysis performed against a six-month-old job posting corpus may already be obsolete. This finding directly motivated SkillGraph's design choice to maintain a continuously refreshed job posting database rather than a static skill taxonomy.</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The broader application of large language models to educational and career contexts is reviewed by Taber et al. [6], who survey 47 papers on LLM-driven personalised learning. They identify a consistent pattern: LLMs outperform rule-based systems on open-ended generative tasks (producing learning plans, synthesising explanations) but underperform on structured classification tasks unless given explicit schema constraints in the prompt. SkillGraph's zero-shot JSON-schema prompting approach — which constrains the model's output to a validated JSON structure before any database writes are performed — is directly responsive to this finding.</w:t>
      </w:r>
    </w:p>
    <w:p>
      <w:pPr>
        <w:spacing w:after="0" w:before="0" w:line="240"/>
      </w:pPr>
      <w:r>
        <w:rPr>
          <w:sz w:val="60"/>
          <w:szCs w:val="60"/>
        </w:rPr>
        <w:t xml:space="preserve"/>
      </w:r>
    </w:p>
    <w:p>
      <w:pPr>
        <w:spacing w:after="20" w:before="80"/>
        <w:ind w:firstLine="0"/>
        <w:jc w:val="left"/>
      </w:pPr>
      <w:r>
        <w:rPr>
          <w:rFonts w:ascii="Times New Roman" w:cs="Times New Roman" w:eastAsia="Times New Roman" w:hAnsi="Times New Roman"/>
          <w:i/>
          <w:iCs/>
          <w:sz w:val="20"/>
          <w:szCs w:val="20"/>
        </w:rPr>
        <w:t xml:space="preserve">D. Browser Automation and Autonomous Application Agents</w:t>
      </w:r>
    </w:p>
    <w:p>
      <w:pPr>
        <w:spacing w:after="0" w:before="0" w:line="240"/>
        <w:ind w:firstLine="284"/>
        <w:jc w:val="both"/>
      </w:pPr>
      <w:r>
        <w:rPr>
          <w:rFonts w:ascii="Times New Roman" w:cs="Times New Roman" w:eastAsia="Times New Roman" w:hAnsi="Times New Roman"/>
          <w:sz w:val="20"/>
          <w:szCs w:val="20"/>
        </w:rPr>
        <w:t xml:space="preserve">The use of browser automation for job searching sits at the intersection of web scraping research and agentic AI systems. Early work in this space focused on structured data extraction from job boards, treating them as semi-structured information sources [17]. The emergence of headless browser frameworks — first Selenium, then Puppeteer, and most recently Playwright — shifted the paradigm from HTML parsing to full page interaction, enabling more robust handling of dynamic, JavaScript-rendered portals.</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The stealth-plugin ecosystem [18], developed initially for penetration testing research, provides techniques for suppressing the browser fingerprints that platforms such as LinkedIn and Naukri use to detect automated sessions. SkillGraph's OpenClaw module applies these techniques with an important ethical constraint: it never creates false sessions or bypasses authentication. The user must link their own authenticated account credentials; OpenClaw acts as a proxy for the user's own actions rather than as an independent impersonator. This design choice distinguishes SkillGraph from scraping tools that operate by fabricating identities.</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The agentic AI literature, and in particular the CrewAI and LangChain agent frameworks [16], provides conceptual grounding for the multi-stage, feedback-loop architecture of OpenClaw. A key lesson from this literature is that agentic pipelines require reliable "guardrail" mechanisms to prevent runaway automation — submitting applications to clearly irrelevant roles, for example. SkillGraph addresses this through the match-score gate (applications are only submitted for roles scoring above 65% match) and the Human-in-the-Loop confirmation dialog that is required before any bulk application run.</w:t>
      </w:r>
    </w:p>
    <w:p>
      <w:pPr>
        <w:spacing w:after="0" w:before="0" w:line="240"/>
      </w:pPr>
      <w:r>
        <w:rPr>
          <w:sz w:val="60"/>
          <w:szCs w:val="60"/>
        </w:rPr>
        <w:t xml:space="preserve"/>
      </w:r>
    </w:p>
    <w:p>
      <w:pPr>
        <w:spacing w:after="20" w:before="80"/>
        <w:ind w:firstLine="0"/>
        <w:jc w:val="left"/>
      </w:pPr>
      <w:r>
        <w:rPr>
          <w:rFonts w:ascii="Times New Roman" w:cs="Times New Roman" w:eastAsia="Times New Roman" w:hAnsi="Times New Roman"/>
          <w:i/>
          <w:iCs/>
          <w:sz w:val="20"/>
          <w:szCs w:val="20"/>
        </w:rPr>
        <w:t xml:space="preserve">E. Summary of Research Gaps</w:t>
      </w:r>
    </w:p>
    <w:p>
      <w:pPr>
        <w:spacing w:after="0" w:before="0" w:line="240"/>
        <w:ind w:firstLine="284"/>
        <w:jc w:val="both"/>
      </w:pPr>
      <w:r>
        <w:rPr>
          <w:rFonts w:ascii="Times New Roman" w:cs="Times New Roman" w:eastAsia="Times New Roman" w:hAnsi="Times New Roman"/>
          <w:sz w:val="20"/>
          <w:szCs w:val="20"/>
        </w:rPr>
        <w:t xml:space="preserve">The review above identifies three gaps that SkillGraph is specifically designed to address: (i) the absence of a real-time, individual-level skill gap tool grounded in live hiring data and calibrated to the Indian market; (ii) the lack of a production-grade autonomous application system with authenticated sessions, match scoring, and application audit trails; and (iii) no integrated platform connecting student career intelligence with institutional faculty oversight within a single coherent architecture. No existing work in the literature — commercial or academic — addresses all three simultaneously.</w:t>
      </w:r>
    </w:p>
    <w:p>
      <w:pPr>
        <w:spacing w:after="0" w:before="0" w:line="240"/>
      </w:pPr>
      <w:r>
        <w:rPr>
          <w:sz w:val="80"/>
          <w:szCs w:val="80"/>
        </w:rPr>
        <w:t xml:space="preserve"/>
      </w:r>
    </w:p>
    <w:p>
      <w:pPr>
        <w:spacing w:after="60" w:before="120"/>
        <w:jc w:val="center"/>
      </w:pPr>
      <w:r>
        <w:rPr>
          <w:rFonts w:ascii="Times New Roman" w:cs="Times New Roman" w:eastAsia="Times New Roman" w:hAnsi="Times New Roman"/>
          <w:b/>
          <w:bCs/>
          <w:smallCaps/>
          <w:sz w:val="20"/>
          <w:szCs w:val="20"/>
        </w:rPr>
        <w:t xml:space="preserve">III. System Architecture and Module Design</w:t>
      </w:r>
    </w:p>
    <w:p>
      <w:pPr>
        <w:spacing w:after="20" w:before="80"/>
        <w:ind w:firstLine="0"/>
        <w:jc w:val="left"/>
      </w:pPr>
      <w:r>
        <w:rPr>
          <w:rFonts w:ascii="Times New Roman" w:cs="Times New Roman" w:eastAsia="Times New Roman" w:hAnsi="Times New Roman"/>
          <w:i/>
          <w:iCs/>
          <w:sz w:val="20"/>
          <w:szCs w:val="20"/>
        </w:rPr>
        <w:t xml:space="preserve">A. Architectural Philosophy</w:t>
      </w:r>
    </w:p>
    <w:p>
      <w:pPr>
        <w:spacing w:after="0" w:before="0" w:line="240"/>
        <w:ind w:firstLine="284"/>
        <w:jc w:val="both"/>
      </w:pPr>
      <w:r>
        <w:rPr>
          <w:rFonts w:ascii="Times New Roman" w:cs="Times New Roman" w:eastAsia="Times New Roman" w:hAnsi="Times New Roman"/>
          <w:sz w:val="20"/>
          <w:szCs w:val="20"/>
        </w:rPr>
        <w:t xml:space="preserve">SkillGraph adopts what might be called a monolithic-modular architecture. The entire application — frontend, API routes, background workers, and database access layer — lives in a single TypeScript codebase built on the Next.js 16 App Router. This decision runs counter to the prevailing microservices fashion, but it reflects a deliberate trade-off: for a system at this stage of deployment, the operational simplicity of a single deployable unit outweighs the theoretical scalability advantages of service decomposition. The modules are logically isolated (gap analysis, sprint generation, and OpenClaw each have their own directory under /lib/ and /api/) but physically co-located, which means zero network overhead for inter-module calls and a single schema migration path.</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The three-role model — Student, Faculty, and Recruiter — is enforced at two independent layers: the JWT token (which carries the role claim, issued at login and validated on every request) and the Next.js middleware (which checks the path prefix against the role before any database access occurs). This dual-layer enforcement means that a misconfigured API call cannot expose faculty-only or recruiter-only data to a student session even if the API route itself fails to check the role.</w:t>
      </w:r>
    </w:p>
    <w:p>
      <w:pPr>
        <w:spacing w:after="0" w:before="0" w:line="240"/>
      </w:pPr>
      <w:r>
        <w:rPr>
          <w:sz w:val="60"/>
          <w:szCs w:val="60"/>
        </w:rPr>
        <w:t xml:space="preserve"/>
      </w:r>
    </w:p>
    <w:p>
      <w:pPr>
        <w:spacing w:after="20" w:before="80"/>
        <w:ind w:firstLine="0"/>
        <w:jc w:val="left"/>
      </w:pPr>
      <w:r>
        <w:rPr>
          <w:rFonts w:ascii="Times New Roman" w:cs="Times New Roman" w:eastAsia="Times New Roman" w:hAnsi="Times New Roman"/>
          <w:i/>
          <w:iCs/>
          <w:sz w:val="20"/>
          <w:szCs w:val="20"/>
        </w:rPr>
        <w:t xml:space="preserve">B. Skill Gap Analysis Engine</w:t>
      </w:r>
    </w:p>
    <w:p>
      <w:pPr>
        <w:spacing w:after="0" w:before="0" w:line="240"/>
        <w:ind w:firstLine="284"/>
        <w:jc w:val="both"/>
      </w:pPr>
      <w:r>
        <w:rPr>
          <w:rFonts w:ascii="Times New Roman" w:cs="Times New Roman" w:eastAsia="Times New Roman" w:hAnsi="Times New Roman"/>
          <w:sz w:val="20"/>
          <w:szCs w:val="20"/>
        </w:rPr>
        <w:t xml:space="preserve">The gap engine operates as a four-stage pipeline. In the first stage, the student uploads a PDF resume which is processed by the unpdf library to extract raw UTF-8 text. This text is passed to the RESUME_PARSER prompt, a zero-shot instruction to Llama-3.3-70B that commands the model to output a validated JSON object with fields for technical skills, soft skills, tools, frameworks, projects, internships, and education. Temperature is set to 0.0 throughout to enforce deterministic outputs; all JSON is validated against a Zod schema before any database writes.</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In the second stage, the JobPosting table is queried for the 50 most recent postings matching the student's target role in the current ISO week. Skill frequency is aggregated across these postings into a ranked demand vector — effectively a "market skill histogram" for that role in that week. In the third stage, the GAP_ANALYZER prompt receives both the student's skill JSON and the demand vector, and returns a structured analysis including a readiness_percentage (0–100), a ranked list of missing skills with urgency (high/medium/low) and weeks_to_learn estimates, a strengths array, and a quick_wins list of skills achievable within one week. The fourth stage anonymises the readiness score and writes a Benchmark record, seeding the cohort comparison data that other students and faculty will subsequently read.</w:t>
      </w:r>
    </w:p>
    <w:p>
      <w:pPr>
        <w:spacing w:after="0" w:before="0" w:line="240"/>
      </w:pPr>
      <w:r>
        <w:rPr>
          <w:sz w:val="60"/>
          <w:szCs w:val="60"/>
        </w:rPr>
        <w:t xml:space="preserve"/>
      </w:r>
    </w:p>
    <w:p>
      <w:pPr>
        <w:spacing w:after="20" w:before="80"/>
        <w:ind w:firstLine="0"/>
        <w:jc w:val="left"/>
      </w:pPr>
      <w:r>
        <w:rPr>
          <w:rFonts w:ascii="Times New Roman" w:cs="Times New Roman" w:eastAsia="Times New Roman" w:hAnsi="Times New Roman"/>
          <w:i/>
          <w:iCs/>
          <w:sz w:val="20"/>
          <w:szCs w:val="20"/>
        </w:rPr>
        <w:t xml:space="preserve">C. 7-Day Sprint Engine</w:t>
      </w:r>
    </w:p>
    <w:p>
      <w:pPr>
        <w:spacing w:after="0" w:before="0" w:line="240"/>
        <w:ind w:firstLine="284"/>
        <w:jc w:val="both"/>
      </w:pPr>
      <w:r>
        <w:rPr>
          <w:rFonts w:ascii="Times New Roman" w:cs="Times New Roman" w:eastAsia="Times New Roman" w:hAnsi="Times New Roman"/>
          <w:sz w:val="20"/>
          <w:szCs w:val="20"/>
        </w:rPr>
        <w:t xml:space="preserve">The sprint engine takes the top three missing skills from the gap analysis and builds a seven-node learning mission. Each DayTask object returned by the SPRINT_GENERATOR prompt specifies: focus area, topic title, resource type (video, article, or practice), resource title, a full URL, estimated time in minutes, a mini-task for hands-on reinforcement, and a checkpoint question. The resource URLs are health-checked immediately after generation; any URL returning non-2xx is replaced with a YouTube search URL constructed from the topic title. This fallback mechanism was added after early pilot testing revealed that approximately 6% of LLM-generated URLs pointed to content that had been removed or paywalled.</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Students can also trigger custom sprint regeneration — specifying an alternative focus (for example, "System Design for Backend" rather than the default top-missing-skill) without discarding their underlying gap profile. This feature emerged from feedback that students preparing for a specific interview in the near term needed to override the system's urgency ranking.</w:t>
      </w:r>
    </w:p>
    <w:p>
      <w:pPr>
        <w:spacing w:after="0" w:before="0" w:line="240"/>
      </w:pPr>
      <w:r>
        <w:rPr>
          <w:sz w:val="60"/>
          <w:szCs w:val="60"/>
        </w:rPr>
        <w:t xml:space="preserve"/>
      </w:r>
    </w:p>
    <w:p>
      <w:pPr>
        <w:spacing w:after="20" w:before="80"/>
        <w:ind w:firstLine="0"/>
        <w:jc w:val="left"/>
      </w:pPr>
      <w:r>
        <w:rPr>
          <w:rFonts w:ascii="Times New Roman" w:cs="Times New Roman" w:eastAsia="Times New Roman" w:hAnsi="Times New Roman"/>
          <w:i/>
          <w:iCs/>
          <w:sz w:val="20"/>
          <w:szCs w:val="20"/>
        </w:rPr>
        <w:t xml:space="preserve">D. OpenClaw: Autonomous Application Agent</w:t>
      </w:r>
    </w:p>
    <w:p>
      <w:pPr>
        <w:spacing w:after="0" w:before="0" w:line="240"/>
        <w:ind w:firstLine="284"/>
        <w:jc w:val="both"/>
      </w:pPr>
      <w:r>
        <w:rPr>
          <w:rFonts w:ascii="Times New Roman" w:cs="Times New Roman" w:eastAsia="Times New Roman" w:hAnsi="Times New Roman"/>
          <w:sz w:val="20"/>
          <w:szCs w:val="20"/>
        </w:rPr>
        <w:t xml:space="preserve">OpenClaw is the most technically complex module of SkillGraph. Its pipeline moves through six distinct stages.</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b w:val="false"/>
          <w:bCs w:val="false"/>
          <w:i/>
          <w:iCs/>
          <w:color w:val="000000"/>
          <w:sz w:val="20"/>
          <w:szCs w:val="20"/>
        </w:rPr>
        <w:t xml:space="preserve">Scraping.</w:t>
      </w:r>
      <w:r>
        <w:rPr>
          <w:rFonts w:ascii="Times New Roman" w:cs="Times New Roman" w:eastAsia="Times New Roman" w:hAnsi="Times New Roman"/>
          <w:b w:val="false"/>
          <w:bCs w:val="false"/>
          <w:i w:val="false"/>
          <w:iCs w:val="false"/>
          <w:color w:val="000000"/>
          <w:sz w:val="20"/>
          <w:szCs w:val="20"/>
        </w:rPr>
        <w:t xml:space="preserve"> Four platform-specific scrapers (Naukri, LinkedIn, Glassdoor, Indeed) use Playwright with the stealth plugin to retrieve job listings matching the student's configured target roles and preferred cities. A skill keyword dictionary of 120+ terms — spanning programming languages, frameworks, databases, cloud platforms, and AI/ML tooling — performs zero-latency extraction of required skills from the listing text for use in the matching stage. A REST fallback to the JSearch RapidAPI is triggered if DOM scraping returns zero results, ensuring listings are always returned even when portal DOM structures change between deployments.</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b w:val="false"/>
          <w:bCs w:val="false"/>
          <w:i/>
          <w:iCs/>
          <w:color w:val="000000"/>
          <w:sz w:val="20"/>
          <w:szCs w:val="20"/>
        </w:rPr>
        <w:t xml:space="preserve">Matching.</w:t>
      </w:r>
      <w:r>
        <w:rPr>
          <w:rFonts w:ascii="Times New Roman" w:cs="Times New Roman" w:eastAsia="Times New Roman" w:hAnsi="Times New Roman"/>
          <w:b w:val="false"/>
          <w:bCs w:val="false"/>
          <w:i w:val="false"/>
          <w:iCs w:val="false"/>
          <w:color w:val="000000"/>
          <w:sz w:val="20"/>
          <w:szCs w:val="20"/>
        </w:rPr>
        <w:t xml:space="preserve"> Each listing is scored by the scoreJobMatch() function, which sends the student's extracted skill profile and the job description to the Llama-3.3-70B matcher. The model returns a match score (0–100), confidence level (high, medium, low), a list of matching and missing skills, and tailoring notes. Only listings scoring ≥ 65 with high or medium confidence proceed to application. Listings below the threshold are recorded as Skipped with their scores preserved for later review.</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b w:val="false"/>
          <w:bCs w:val="false"/>
          <w:i/>
          <w:iCs/>
          <w:color w:val="000000"/>
          <w:sz w:val="20"/>
          <w:szCs w:val="20"/>
        </w:rPr>
        <w:t xml:space="preserve">Session gate.</w:t>
      </w:r>
      <w:r>
        <w:rPr>
          <w:rFonts w:ascii="Times New Roman" w:cs="Times New Roman" w:eastAsia="Times New Roman" w:hAnsi="Times New Roman"/>
          <w:b w:val="false"/>
          <w:bCs w:val="false"/>
          <w:i w:val="false"/>
          <w:iCs w:val="false"/>
          <w:color w:val="000000"/>
          <w:sz w:val="20"/>
          <w:szCs w:val="20"/>
        </w:rPr>
        <w:t xml:space="preserve"> Before attempting any application, the agent checks whether an authenticated Playwright storageState exists in the student's OpenClawConfig.sessionData for the listing's platform. If no session is linked, the listing is recorded as UnableToApply and the student is prompted to link their account. This is a critical design constraint: OpenClaw never creates anonymous or synthetic sessions and never bypasses authentication requirements. Every application submitted by OpenClaw is made using the student's own verified account.</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b w:val="false"/>
          <w:bCs w:val="false"/>
          <w:i/>
          <w:iCs/>
          <w:color w:val="000000"/>
          <w:sz w:val="20"/>
          <w:szCs w:val="20"/>
        </w:rPr>
        <w:t xml:space="preserve">Resume tailoring.</w:t>
      </w:r>
      <w:r>
        <w:rPr>
          <w:rFonts w:ascii="Times New Roman" w:cs="Times New Roman" w:eastAsia="Times New Roman" w:hAnsi="Times New Roman"/>
          <w:b w:val="false"/>
          <w:bCs w:val="false"/>
          <w:i w:val="false"/>
          <w:iCs w:val="false"/>
          <w:color w:val="000000"/>
          <w:sz w:val="20"/>
          <w:szCs w:val="20"/>
        </w:rPr>
        <w:t xml:space="preserve"> The student's stored resume sections are loaded as the authoritative record. The AI is restricted to customising only the summary section, generating a 2–3 sentence About paragraph that honestly weaves two to three keywords from the specific job description into the student's existing experience narrative. This "resume-first" constraint is a deliberate ethical design choice: the system cannot add skills the student does not have, claim experience they have not listed, or fabricate projects.</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b w:val="false"/>
          <w:bCs w:val="false"/>
          <w:i/>
          <w:iCs/>
          <w:color w:val="000000"/>
          <w:sz w:val="20"/>
          <w:szCs w:val="20"/>
        </w:rPr>
        <w:t xml:space="preserve">Submission.</w:t>
      </w:r>
      <w:r>
        <w:rPr>
          <w:rFonts w:ascii="Times New Roman" w:cs="Times New Roman" w:eastAsia="Times New Roman" w:hAnsi="Times New Roman"/>
          <w:b w:val="false"/>
          <w:bCs w:val="false"/>
          <w:i w:val="false"/>
          <w:iCs w:val="false"/>
          <w:color w:val="000000"/>
          <w:sz w:val="20"/>
          <w:szCs w:val="20"/>
        </w:rPr>
        <w:t xml:space="preserve"> The applyToJob() function navigates to the job URL using the student's authenticated session, fills standard form fields, uploads the tailored PDF generated by @react-pdf/renderer, and submits. A JPEG screenshot is captured as submission proof.</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b w:val="false"/>
          <w:bCs w:val="false"/>
          <w:i/>
          <w:iCs/>
          <w:color w:val="000000"/>
          <w:sz w:val="20"/>
          <w:szCs w:val="20"/>
        </w:rPr>
        <w:t xml:space="preserve">Audit trail.</w:t>
      </w:r>
      <w:r>
        <w:rPr>
          <w:rFonts w:ascii="Times New Roman" w:cs="Times New Roman" w:eastAsia="Times New Roman" w:hAnsi="Times New Roman"/>
          <w:b w:val="false"/>
          <w:bCs w:val="false"/>
          <w:i w:val="false"/>
          <w:iCs w:val="false"/>
          <w:color w:val="000000"/>
          <w:sz w:val="20"/>
          <w:szCs w:val="20"/>
        </w:rPr>
        <w:t xml:space="preserve"> Every application — successful or not — is recorded in OpenClawApplication with status, match score, tailoring notes, and screenshot URL. A background syncer periodically re-visits applied listing pages to detect status changes (viewed, shortlisted, rejected, closed) by scanning page text for platform-specific signals.</w:t>
      </w:r>
    </w:p>
    <w:p>
      <w:pPr>
        <w:spacing w:after="0" w:before="0" w:line="240"/>
      </w:pPr>
      <w:r>
        <w:rPr>
          <w:sz w:val="60"/>
          <w:szCs w:val="60"/>
        </w:rPr>
        <w:t xml:space="preserve"/>
      </w:r>
    </w:p>
    <w:p>
      <w:pPr>
        <w:spacing w:after="20" w:before="80"/>
        <w:ind w:firstLine="0"/>
        <w:jc w:val="left"/>
      </w:pPr>
      <w:r>
        <w:rPr>
          <w:rFonts w:ascii="Times New Roman" w:cs="Times New Roman" w:eastAsia="Times New Roman" w:hAnsi="Times New Roman"/>
          <w:i/>
          <w:iCs/>
          <w:sz w:val="20"/>
          <w:szCs w:val="20"/>
        </w:rPr>
        <w:t xml:space="preserve">E. ATS Resume Builder</w:t>
      </w:r>
    </w:p>
    <w:p>
      <w:pPr>
        <w:spacing w:after="0" w:before="0" w:line="240"/>
        <w:ind w:firstLine="284"/>
        <w:jc w:val="both"/>
      </w:pPr>
      <w:r>
        <w:rPr>
          <w:rFonts w:ascii="Times New Roman" w:cs="Times New Roman" w:eastAsia="Times New Roman" w:hAnsi="Times New Roman"/>
          <w:sz w:val="20"/>
          <w:szCs w:val="20"/>
        </w:rPr>
        <w:t xml:space="preserve">The resume builder provides a structured section editor for Summary, Experience, Projects, Skills, Education, Achievements, and Activities. Each section is stored as a ResumeSection record with a typed content field, enabling selective updates without reprocessing the entire document. The PDF export uses @react-pdf/renderer with a consistent visual template: a blue-accented header row, clean serif typography, and a contact line embedding LinkedIn and GitHub URLs. The same renderer is used by OpenClaw for agent-generated applications, ensuring that a student's manually crafted resume and an autonomously submitted resume look identical.</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A live ATS scoring overlay is computed during editing by comparing the resume content against a reference job description that the student can paste into a target JD field. The score decomposes into five dimensions: keyword match (0–40 points), document structure completeness (0–20), quantification of achievements (0–20), action verb usage (0–10), and formatting parsability (0–10). This decomposition was designed to make the score actionable rather than opaque: a student who scores 44 overall but sees 12/40 on keyword match understands exactly what to address next.</w:t>
      </w:r>
    </w:p>
    <w:p>
      <w:pPr>
        <w:spacing w:after="0" w:before="0" w:line="240"/>
      </w:pPr>
      <w:r>
        <w:rPr>
          <w:sz w:val="60"/>
          <w:szCs w:val="60"/>
        </w:rPr>
        <w:t xml:space="preserve"/>
      </w:r>
    </w:p>
    <w:p>
      <w:pPr>
        <w:spacing w:after="20" w:before="80"/>
        <w:ind w:firstLine="0"/>
        <w:jc w:val="left"/>
      </w:pPr>
      <w:r>
        <w:rPr>
          <w:rFonts w:ascii="Times New Roman" w:cs="Times New Roman" w:eastAsia="Times New Roman" w:hAnsi="Times New Roman"/>
          <w:i/>
          <w:iCs/>
          <w:sz w:val="20"/>
          <w:szCs w:val="20"/>
        </w:rPr>
        <w:t xml:space="preserve">F. Faculty Placement Cell OS</w:t>
      </w:r>
    </w:p>
    <w:p>
      <w:pPr>
        <w:spacing w:after="0" w:before="0" w:line="240"/>
        <w:ind w:firstLine="284"/>
        <w:jc w:val="both"/>
      </w:pPr>
      <w:r>
        <w:rPr>
          <w:rFonts w:ascii="Times New Roman" w:cs="Times New Roman" w:eastAsia="Times New Roman" w:hAnsi="Times New Roman"/>
          <w:sz w:val="20"/>
          <w:szCs w:val="20"/>
        </w:rPr>
        <w:t xml:space="preserve">The faculty module is access-controlled by the FACULTY role and is scoped to the linked CollegeInstitution record, meaning a faculty coordinator at one university cannot see students from another. The dashboard provides four primary views: a cohort skill heatmap (aggregated SkillProfile frequency across all linked students, rendered as a Recharts bar chart), a readiness distribution (a bell curve of readiness scores by target role and graduation year), a placement KPI panel (counts of applications submitted, shortlists received, and offers confirmed), and a campus job posting board where the coordinator can create opportunities with CGPA cut-offs, branch eligibility filters, application deadlines, and drive dates. Student notifications for new eligible postings are dispatched via SendGrid.</w:t>
      </w:r>
    </w:p>
    <w:p>
      <w:pPr>
        <w:spacing w:after="0" w:before="0" w:line="240"/>
      </w:pPr>
      <w:r>
        <w:rPr>
          <w:sz w:val="80"/>
          <w:szCs w:val="80"/>
        </w:rPr>
        <w:t xml:space="preserve"/>
      </w:r>
    </w:p>
    <w:p>
      <w:pPr>
        <w:spacing w:after="60" w:before="120"/>
        <w:jc w:val="center"/>
      </w:pPr>
      <w:r>
        <w:rPr>
          <w:rFonts w:ascii="Times New Roman" w:cs="Times New Roman" w:eastAsia="Times New Roman" w:hAnsi="Times New Roman"/>
          <w:b/>
          <w:bCs/>
          <w:smallCaps/>
          <w:sz w:val="20"/>
          <w:szCs w:val="20"/>
        </w:rPr>
        <w:t xml:space="preserve">IV. Implementation and Evaluation</w:t>
      </w:r>
    </w:p>
    <w:p>
      <w:pPr>
        <w:spacing w:after="20" w:before="80"/>
        <w:ind w:firstLine="0"/>
        <w:jc w:val="left"/>
      </w:pPr>
      <w:r>
        <w:rPr>
          <w:rFonts w:ascii="Times New Roman" w:cs="Times New Roman" w:eastAsia="Times New Roman" w:hAnsi="Times New Roman"/>
          <w:i/>
          <w:iCs/>
          <w:sz w:val="20"/>
          <w:szCs w:val="20"/>
        </w:rPr>
        <w:t xml:space="preserve">A. Technology Stack</w:t>
      </w:r>
    </w:p>
    <w:p>
      <w:pPr>
        <w:spacing w:after="0" w:before="0" w:line="240"/>
        <w:ind w:firstLine="284"/>
        <w:jc w:val="both"/>
      </w:pPr>
      <w:r>
        <w:rPr>
          <w:rFonts w:ascii="Times New Roman" w:cs="Times New Roman" w:eastAsia="Times New Roman" w:hAnsi="Times New Roman"/>
          <w:sz w:val="20"/>
          <w:szCs w:val="20"/>
        </w:rPr>
        <w:t xml:space="preserve">Table II summarises the complete technology stack. The Groq inference endpoint was selected over OpenAI's API primarily for latency: the Groq LPU (Language Processing Unit) architecture delivers Llama-3.3-70B tokens at an average of 800 tokens per second, compared to approximately 60 tokens per second on OpenAI's GPT-4o. For parsing and gap analysis operations where the model is producing 300–600 token outputs, this translates to a perceived response time of under one second versus five to eight seconds. OpenAI GPT-4o is retained as a fallback and is invoked for the negotiation script generation and company culture analysis tasks, where higher reasoning quality outweighs latency requirements.</w:t>
      </w:r>
    </w:p>
    <w:p>
      <w:pPr>
        <w:spacing w:after="0" w:before="80"/>
        <w:jc w:val="center"/>
      </w:pPr>
      <w:r>
        <w:rPr>
          <w:rFonts w:ascii="Times New Roman" w:cs="Times New Roman" w:eastAsia="Times New Roman" w:hAnsi="Times New Roman"/>
          <w:b/>
          <w:bCs/>
          <w:smallCaps/>
          <w:sz w:val="20"/>
          <w:szCs w:val="20"/>
        </w:rPr>
        <w:t xml:space="preserve">TABLE II</w:t>
      </w:r>
    </w:p>
    <w:p>
      <w:pPr>
        <w:spacing w:after="60" w:before="0"/>
        <w:jc w:val="center"/>
      </w:pPr>
      <w:r>
        <w:rPr>
          <w:rFonts w:ascii="Times New Roman" w:cs="Times New Roman" w:eastAsia="Times New Roman" w:hAnsi="Times New Roman"/>
          <w:b/>
          <w:bCs/>
          <w:smallCaps/>
          <w:sz w:val="20"/>
          <w:szCs w:val="20"/>
        </w:rPr>
        <w:t xml:space="preserve">SkillGraph Core Technology Stack</w:t>
      </w:r>
    </w:p>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1320"/>
      </w:tblGrid>
      <w:tr>
        <w:tc>
          <w:tcPr>
            <w:tcW w:type="dxa" w:w="144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Layer</w:t>
            </w:r>
          </w:p>
        </w:tc>
        <w:tc>
          <w:tcPr>
            <w:tcW w:type="dxa" w:w="200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Technology</w:t>
            </w:r>
          </w:p>
        </w:tc>
        <w:tc>
          <w:tcPr>
            <w:tcW w:type="dxa" w:w="132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Justification</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Frontend</w:t>
            </w:r>
          </w:p>
        </w:tc>
        <w:tc>
          <w:tcPr>
            <w:tcW w:type="dxa" w:w="20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Next.js 16 (App Router), React 18, Tailwind CSS v4, Framer Motion</w:t>
            </w:r>
          </w:p>
        </w:tc>
        <w:tc>
          <w:tcPr>
            <w:tcW w:type="dxa" w:w="132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SSR + RSC for latency; dark industrial theme via CSS variables</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Backend API</w:t>
            </w:r>
          </w:p>
        </w:tc>
        <w:tc>
          <w:tcPr>
            <w:tcW w:type="dxa" w:w="20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Next.js Route Handlers (Edge + Node.js runtimes)</w:t>
            </w:r>
          </w:p>
        </w:tc>
        <w:tc>
          <w:tcPr>
            <w:tcW w:type="dxa" w:w="132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Co-located API + UI; eliminates separate server process</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Database</w:t>
            </w:r>
          </w:p>
        </w:tc>
        <w:tc>
          <w:tcPr>
            <w:tcW w:type="dxa" w:w="20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PostgreSQL (Neon serverless), Prisma ORM v5</w:t>
            </w:r>
          </w:p>
        </w:tc>
        <w:tc>
          <w:tcPr>
            <w:tcW w:type="dxa" w:w="132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ACID guarantees; Prisma for type-safe multi-role schema</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Authentication</w:t>
            </w:r>
          </w:p>
        </w:tc>
        <w:tc>
          <w:tcPr>
            <w:tcW w:type="dxa" w:w="20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NextAuth v5 — JWT sessions, bcrypt (cost 12)</w:t>
            </w:r>
          </w:p>
        </w:tc>
        <w:tc>
          <w:tcPr>
            <w:tcW w:type="dxa" w:w="132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Stateless JWT; role stored in token for O(1) middleware check</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AI Inference</w:t>
            </w:r>
          </w:p>
        </w:tc>
        <w:tc>
          <w:tcPr>
            <w:tcW w:type="dxa" w:w="20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Groq (Llama-3.3-70B-Versatile), OpenAI GPT-4o</w:t>
            </w:r>
          </w:p>
        </w:tc>
        <w:tc>
          <w:tcPr>
            <w:tcW w:type="dxa" w:w="132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Groq sub-second latency for parsing; GPT-4o for gap reasoning</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Browser Automation</w:t>
            </w:r>
          </w:p>
        </w:tc>
        <w:tc>
          <w:tcPr>
            <w:tcW w:type="dxa" w:w="20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Playwright + playwright-extra + stealth plugin</w:t>
            </w:r>
          </w:p>
        </w:tc>
        <w:tc>
          <w:tcPr>
            <w:tcW w:type="dxa" w:w="132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Persistent authenticated sessions; avoids bot-detection walls</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PDF Generation</w:t>
            </w:r>
          </w:p>
        </w:tc>
        <w:tc>
          <w:tcPr>
            <w:tcW w:type="dxa" w:w="20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@react-pdf/renderer v3</w:t>
            </w:r>
          </w:p>
        </w:tc>
        <w:tc>
          <w:tcPr>
            <w:tcW w:type="dxa" w:w="132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Server-side ATS-compliant PDF; same renderer for builder + agent</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Background Jobs</w:t>
            </w:r>
          </w:p>
        </w:tc>
        <w:tc>
          <w:tcPr>
            <w:tcW w:type="dxa" w:w="20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BullMQ + Upstash Redis</w:t>
            </w:r>
          </w:p>
        </w:tc>
        <w:tc>
          <w:tcPr>
            <w:tcW w:type="dxa" w:w="132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Durable queue for OpenClaw batch; survives serverless cold starts</w:t>
            </w:r>
          </w:p>
        </w:tc>
      </w:tr>
      <w:tr>
        <w:tc>
          <w:tcPr>
            <w:tcW w:type="dxa" w:w="144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File Storage</w:t>
            </w:r>
          </w:p>
        </w:tc>
        <w:tc>
          <w:tcPr>
            <w:tcW w:type="dxa" w:w="20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Cloudinary CDN</w:t>
            </w:r>
          </w:p>
        </w:tc>
        <w:tc>
          <w:tcPr>
            <w:tcW w:type="dxa" w:w="132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Resume PDF versioning; signed upload URLs; global CDN delivery</w:t>
            </w:r>
          </w:p>
        </w:tc>
      </w:tr>
    </w:tbl>
    <w:p>
      <w:pPr>
        <w:spacing w:after="0" w:before="0" w:line="240"/>
      </w:pPr>
      <w:r>
        <w:rPr>
          <w:sz w:val="60"/>
          <w:szCs w:val="60"/>
        </w:rPr>
        <w:t xml:space="preserve"/>
      </w:r>
    </w:p>
    <w:p>
      <w:pPr>
        <w:spacing w:after="20" w:before="80"/>
        <w:ind w:firstLine="0"/>
        <w:jc w:val="left"/>
      </w:pPr>
      <w:r>
        <w:rPr>
          <w:rFonts w:ascii="Times New Roman" w:cs="Times New Roman" w:eastAsia="Times New Roman" w:hAnsi="Times New Roman"/>
          <w:i/>
          <w:iCs/>
          <w:sz w:val="20"/>
          <w:szCs w:val="20"/>
        </w:rPr>
        <w:t xml:space="preserve">B. Evaluation Design</w:t>
      </w:r>
    </w:p>
    <w:p>
      <w:pPr>
        <w:spacing w:after="0" w:before="0" w:line="240"/>
        <w:ind w:firstLine="284"/>
        <w:jc w:val="both"/>
      </w:pPr>
      <w:r>
        <w:rPr>
          <w:rFonts w:ascii="Times New Roman" w:cs="Times New Roman" w:eastAsia="Times New Roman" w:hAnsi="Times New Roman"/>
          <w:sz w:val="20"/>
          <w:szCs w:val="20"/>
        </w:rPr>
        <w:t xml:space="preserve">The system was evaluated across a 30-day pilot with a cohort of computer science engineering students at the partner institution. Participants were students actively preparing for campus placement or off-campus job applications. Baseline measurements were collected during the first three days (pre-platform usage): students submitted their existing resume, and its ATS score was computed against a corpus of 50 role-matched job descriptions from the current week's JobPosting database. Application timing was measured during baseline using a timed, recorded session in which the participant applied to five jobs on Naukri with their existing resume without using SkillGraph.</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Post-platform measurements were collected at day 7 (after first sprint completion), day 30 (after the full evaluation period), and at the point of any OpenClaw application run. The ATS scoring methodology follows the decomposition described in Section III.E and was implemented as a deterministic function rather than a subjective human rating, ensuring reproducibility.</w:t>
      </w:r>
    </w:p>
    <w:p>
      <w:pPr>
        <w:spacing w:after="0" w:before="0" w:line="240"/>
      </w:pPr>
      <w:r>
        <w:rPr>
          <w:sz w:val="60"/>
          <w:szCs w:val="60"/>
        </w:rPr>
        <w:t xml:space="preserve"/>
      </w:r>
    </w:p>
    <w:p>
      <w:pPr>
        <w:spacing w:after="20" w:before="80"/>
        <w:ind w:firstLine="0"/>
        <w:jc w:val="left"/>
      </w:pPr>
      <w:r>
        <w:rPr>
          <w:rFonts w:ascii="Times New Roman" w:cs="Times New Roman" w:eastAsia="Times New Roman" w:hAnsi="Times New Roman"/>
          <w:i/>
          <w:iCs/>
          <w:sz w:val="20"/>
          <w:szCs w:val="20"/>
        </w:rPr>
        <w:t xml:space="preserve">C. Results</w:t>
      </w:r>
    </w:p>
    <w:p>
      <w:pPr>
        <w:spacing w:after="0" w:before="0" w:line="240"/>
        <w:ind w:firstLine="284"/>
        <w:jc w:val="both"/>
      </w:pPr>
      <w:r>
        <w:rPr>
          <w:rFonts w:ascii="Times New Roman" w:cs="Times New Roman" w:eastAsia="Times New Roman" w:hAnsi="Times New Roman"/>
          <w:sz w:val="20"/>
          <w:szCs w:val="20"/>
        </w:rPr>
        <w:t xml:space="preserve">Table III presents the primary evaluation outcomes. Mean ATS score improvement of 23.4 points after sprint completion was the strongest signal. Closer inspection of the score decomposition revealed that keyword match was the primary driver: students completing the sprint added an average of 4.2 new verifiable skills to their profiles, which — when reflected in the resume — yielded a 6.9-point improvement in the keyword dimension alone. The additional improvement came from action verb density and achievement quantification, both of which improved as students edited their experience descriptions following the sprint's practical tasks.</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The 91% reduction in per-application time (from 18.4 minutes to 1.7 minutes) reflects OpenClaw operating in a fully configured state with authenticated sessions for all four platforms. The 83.6% first-attempt submission success rate is lower than the automation literature benchmark of &gt;95% for simple form-fill tasks, but this is partially explained by the heterogeneity of application form structures across portals: Naukri's Easy Apply forms completed at a 94% rate, while LinkedIn's multi-step application forms (which sometimes include mandatory screening questions beyond name and resume) completed at 71%. Incomplete applications are flagged as Failed and surfaced in the audit trail for manual follow-up.</w:t>
      </w:r>
    </w:p>
    <w:p>
      <w:pPr>
        <w:spacing w:after="0" w:before="0" w:line="240"/>
      </w:pPr>
      <w:r>
        <w:rPr>
          <w:sz w:val="60"/>
          <w:szCs w:val="60"/>
        </w:rPr>
        <w:t xml:space="preserve"/>
      </w:r>
    </w:p>
    <w:p>
      <w:pPr>
        <w:spacing w:after="0" w:before="80"/>
        <w:jc w:val="center"/>
      </w:pPr>
      <w:r>
        <w:rPr>
          <w:rFonts w:ascii="Times New Roman" w:cs="Times New Roman" w:eastAsia="Times New Roman" w:hAnsi="Times New Roman"/>
          <w:b/>
          <w:bCs/>
          <w:smallCaps/>
          <w:sz w:val="20"/>
          <w:szCs w:val="20"/>
        </w:rPr>
        <w:t xml:space="preserve">TABLE III</w:t>
      </w:r>
    </w:p>
    <w:p>
      <w:pPr>
        <w:spacing w:after="60" w:before="0"/>
        <w:jc w:val="center"/>
      </w:pPr>
      <w:r>
        <w:rPr>
          <w:rFonts w:ascii="Times New Roman" w:cs="Times New Roman" w:eastAsia="Times New Roman" w:hAnsi="Times New Roman"/>
          <w:b/>
          <w:bCs/>
          <w:smallCaps/>
          <w:sz w:val="20"/>
          <w:szCs w:val="20"/>
        </w:rPr>
        <w:t xml:space="preserve">SkillGraph Pilot Evaluation Results (30-day cohort, n=50)</w:t>
      </w:r>
    </w:p>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1360"/>
      </w:tblGrid>
      <w:tr>
        <w:tc>
          <w:tcPr>
            <w:tcW w:type="dxa" w:w="160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Metric</w:t>
            </w:r>
          </w:p>
        </w:tc>
        <w:tc>
          <w:tcPr>
            <w:tcW w:type="dxa" w:w="90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Baseline</w:t>
            </w:r>
          </w:p>
        </w:tc>
        <w:tc>
          <w:tcPr>
            <w:tcW w:type="dxa" w:w="90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Post-SkillGraph</w:t>
            </w:r>
          </w:p>
        </w:tc>
        <w:tc>
          <w:tcPr>
            <w:tcW w:type="dxa" w:w="1360"/>
            <w:tcBorders>
              <w:top w:val="single" w:color="000000" w:sz="4"/>
              <w:left w:val="none" w:color="FFFFFF" w:sz="0"/>
              <w:bottom w:val="single" w:color="000000" w:sz="4"/>
              <w:right w:val="none" w:color="FFFFFF" w:sz="0"/>
            </w:tcBorders>
            <w:shd w:fill="D9D9D9" w:val="clear"/>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Evaluation Method</w:t>
            </w:r>
          </w:p>
        </w:tc>
      </w:tr>
      <w:tr>
        <w:tc>
          <w:tcPr>
            <w:tcW w:type="dxa" w:w="16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Mean ATS Score (resume upload)</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54.2 / 100</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77.6 / 100</w:t>
            </w:r>
          </w:p>
        </w:tc>
        <w:tc>
          <w:tcPr>
            <w:tcW w:type="dxa" w:w="13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Automated keyword scoring vs JD corpus</w:t>
            </w:r>
          </w:p>
        </w:tc>
      </w:tr>
      <w:tr>
        <w:tc>
          <w:tcPr>
            <w:tcW w:type="dxa" w:w="16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Mean ATS Score (sprint completion)</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54.2 / 100</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66.7 / 100</w:t>
            </w:r>
          </w:p>
        </w:tc>
        <w:tc>
          <w:tcPr>
            <w:tcW w:type="dxa" w:w="13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Rescore after 7-day sprint on top 3 gaps</w:t>
            </w:r>
          </w:p>
        </w:tc>
      </w:tr>
      <w:tr>
        <w:tc>
          <w:tcPr>
            <w:tcW w:type="dxa" w:w="16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Manual application time (per job)</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18.4 min</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1.7 min</w:t>
            </w:r>
          </w:p>
        </w:tc>
        <w:tc>
          <w:tcPr>
            <w:tcW w:type="dxa" w:w="13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Timed session with consenting participants</w:t>
            </w:r>
          </w:p>
        </w:tc>
      </w:tr>
      <w:tr>
        <w:tc>
          <w:tcPr>
            <w:tcW w:type="dxa" w:w="16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Application throughput (per day)</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3.2 apps</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21.4 apps</w:t>
            </w:r>
          </w:p>
        </w:tc>
        <w:tc>
          <w:tcPr>
            <w:tcW w:type="dxa" w:w="13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OpenClaw run log over 30-day pilot</w:t>
            </w:r>
          </w:p>
        </w:tc>
      </w:tr>
      <w:tr>
        <w:tc>
          <w:tcPr>
            <w:tcW w:type="dxa" w:w="16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Resume tailoring accuracy</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N/A</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94.3%</w:t>
            </w:r>
          </w:p>
        </w:tc>
        <w:tc>
          <w:tcPr>
            <w:tcW w:type="dxa" w:w="13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Manual verification of 30 sampled resumes</w:t>
            </w:r>
          </w:p>
        </w:tc>
      </w:tr>
      <w:tr>
        <w:tc>
          <w:tcPr>
            <w:tcW w:type="dxa" w:w="16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Sprint resource link validity</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N/A</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97.1%</w:t>
            </w:r>
          </w:p>
        </w:tc>
        <w:tc>
          <w:tcPr>
            <w:tcW w:type="dxa" w:w="13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HTTP status check of all generated URLs</w:t>
            </w:r>
          </w:p>
        </w:tc>
      </w:tr>
      <w:tr>
        <w:tc>
          <w:tcPr>
            <w:tcW w:type="dxa" w:w="16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OpenClaw success rate (submission)</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N/A</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83.6%</w:t>
            </w:r>
          </w:p>
        </w:tc>
        <w:tc>
          <w:tcPr>
            <w:tcW w:type="dxa" w:w="13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Applied / Total attempted (session-linked only)</w:t>
            </w:r>
          </w:p>
        </w:tc>
      </w:tr>
      <w:tr>
        <w:tc>
          <w:tcPr>
            <w:tcW w:type="dxa" w:w="16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Gap analysis recall (known skills)</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N/A</w:t>
            </w:r>
          </w:p>
        </w:tc>
        <w:tc>
          <w:tcPr>
            <w:tcW w:type="dxa" w:w="90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91.2%</w:t>
            </w:r>
          </w:p>
        </w:tc>
        <w:tc>
          <w:tcPr>
            <w:tcW w:type="dxa" w:w="13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Against hand-labelled ground truth (n=50 resumes)</w:t>
            </w:r>
          </w:p>
        </w:tc>
      </w:tr>
    </w:tbl>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The gap analysis recall of 91.2% against a hand-labelled ground truth of 50 resumes indicates that the Llama-3.3-70B parser is capturing the substantial majority of skills present in unstructured resume text. The 8.8% miss rate is concentrated in two categories: skills embedded in project descriptions that use non-canonical naming (for example, "REST API development" rather than "REST"), and skills referenced only in the certifications section rather than in experience or skills listings. Both failure modes are being addressed in a current fine-tuning effort.</w:t>
      </w:r>
    </w:p>
    <w:p>
      <w:pPr>
        <w:spacing w:after="0" w:before="0" w:line="240"/>
      </w:pPr>
      <w:r>
        <w:rPr>
          <w:sz w:val="80"/>
          <w:szCs w:val="80"/>
        </w:rPr>
        <w:t xml:space="preserve"/>
      </w:r>
    </w:p>
    <w:p>
      <w:pPr>
        <w:spacing w:after="60" w:before="120"/>
        <w:jc w:val="center"/>
      </w:pPr>
      <w:r>
        <w:rPr>
          <w:rFonts w:ascii="Times New Roman" w:cs="Times New Roman" w:eastAsia="Times New Roman" w:hAnsi="Times New Roman"/>
          <w:b/>
          <w:bCs/>
          <w:smallCaps/>
          <w:sz w:val="20"/>
          <w:szCs w:val="20"/>
        </w:rPr>
        <w:t xml:space="preserve">V. Discussion</w:t>
      </w:r>
    </w:p>
    <w:p>
      <w:pPr>
        <w:spacing w:after="0" w:before="0" w:line="240"/>
        <w:ind w:firstLine="284"/>
        <w:jc w:val="both"/>
      </w:pPr>
      <w:r>
        <w:rPr>
          <w:rFonts w:ascii="Times New Roman" w:cs="Times New Roman" w:eastAsia="Times New Roman" w:hAnsi="Times New Roman"/>
          <w:sz w:val="20"/>
          <w:szCs w:val="20"/>
        </w:rPr>
        <w:t xml:space="preserve">The results confirm the central premise of SkillGraph's design: that closing the feedback loop between gap identification, upskilling, and application execution yields measurable improvements across all three dimensions simultaneously. The ATS score gain is not, in isolation, a surprising result — directing a student's attention toward high-frequency market keywords and then prompting them to practice those skills will naturally improve their resume's keyword density. What is more interesting is that the improvement generalises across role categories: students targeting data analyst roles, backend engineering roles, and full-stack roles all showed similar score trajectories, suggesting that the gap engine's market-grounding mechanism is role-agnostic.</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The OpenClaw results raise an important ethical consideration that deserves direct acknowledgment. Automated job applications at scale could, in principle, flood recruiters with applications from students who are not genuinely qualified for the roles they are applying to. SkillGraph addresses this through two mechanisms: the match score gate (which prevents applications to roles below 65% match) and the resume-first constraint (which prevents the AI from fabricating experience). In the pilot cohort, the mean match score of OpenClaw-submitted applications was 74.3%, compared to a mean score of 58.1% for applications the students submitted manually before using the platform. This suggests that the agent is, if anything, more selective than the students would be themselves, concentrating applications on the roles where the student has the strongest genuine fit.</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The Faculty Placement Cell OS addresses a gap that is perhaps less visible in the literature but deeply felt in practice. Placement coordinators at Indian institutions routinely manage cohorts of 200–800 students with teams of two to four staff, using combinations of spreadsheets, WhatsApp groups, and email. The absence of structured skill data about their cohort means they cannot make evidence-based decisions about which companies to invite for campus drives, which students to pre-screen, or which training interventions to prioritise. The cohort heatmap — which aggregates skill frequency across all linked students and surfaces the widest gaps relative to market demand — makes this evidence available for the first time.</w:t>
      </w:r>
    </w:p>
    <w:p>
      <w:pPr>
        <w:spacing w:after="0" w:before="0" w:line="240"/>
      </w:pPr>
      <w:r>
        <w:rPr>
          <w:sz w:val="80"/>
          <w:szCs w:val="80"/>
        </w:rPr>
        <w:t xml:space="preserve"/>
      </w:r>
    </w:p>
    <w:p>
      <w:pPr>
        <w:spacing w:after="60" w:before="120"/>
        <w:jc w:val="center"/>
      </w:pPr>
      <w:r>
        <w:rPr>
          <w:rFonts w:ascii="Times New Roman" w:cs="Times New Roman" w:eastAsia="Times New Roman" w:hAnsi="Times New Roman"/>
          <w:b/>
          <w:bCs/>
          <w:smallCaps/>
          <w:sz w:val="20"/>
          <w:szCs w:val="20"/>
        </w:rPr>
        <w:t xml:space="preserve">VI. Conclusion</w:t>
      </w:r>
    </w:p>
    <w:p>
      <w:pPr>
        <w:spacing w:after="0" w:before="0" w:line="240"/>
        <w:ind w:firstLine="284"/>
        <w:jc w:val="both"/>
      </w:pPr>
      <w:r>
        <w:rPr>
          <w:rFonts w:ascii="Times New Roman" w:cs="Times New Roman" w:eastAsia="Times New Roman" w:hAnsi="Times New Roman"/>
          <w:sz w:val="20"/>
          <w:szCs w:val="20"/>
        </w:rPr>
        <w:t xml:space="preserve">This paper presented SkillGraph, an autonomous career intelligence ecosystem designed for the specific structural conditions of the Indian engineering employment market. The platform integrates live skill gap analysis, personalised sprint-based learning, autonomous multi-platform job application, ATS-optimised resume generation, and institutional faculty intelligence within a single, open-source Next.js codebase.</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The core design principle — that skill development, job discovery, and application execution should form a closed, AI-driven loop rather than three disconnected manual workflows — is validated by the pilot results. A 23.4-point mean ATS score improvement, a 91% reduction in per-application time, and an 83.6% autonomous submission success rate are meaningful outcomes that translate directly to reduced placement friction for students and coordinators alike.</w:t>
      </w:r>
    </w:p>
    <w:p>
      <w:pPr>
        <w:spacing w:after="0" w:before="0" w:line="240"/>
      </w:pPr>
      <w:r>
        <w:rPr>
          <w:sz w:val="60"/>
          <w:szCs w:val="60"/>
        </w:rPr>
        <w:t xml:space="preserve"/>
      </w:r>
    </w:p>
    <w:p>
      <w:pPr>
        <w:spacing w:after="0" w:before="0" w:line="240"/>
        <w:ind w:firstLine="284"/>
        <w:jc w:val="both"/>
      </w:pPr>
      <w:r>
        <w:rPr>
          <w:rFonts w:ascii="Times New Roman" w:cs="Times New Roman" w:eastAsia="Times New Roman" w:hAnsi="Times New Roman"/>
          <w:sz w:val="20"/>
          <w:szCs w:val="20"/>
        </w:rPr>
        <w:t xml:space="preserve">Three directions for future work are particularly promising. First, expanding OpenClaw's status detection beyond text-scanning toward structured DOM parsing would improve the reliability of post-application tracking, particularly on portals that render status information dynamically. Second, extending the benchmarking layer to support multiple institutions — with appropriate privacy controls — would allow cross-institutional cohort comparisons that could provide actionable signal for curriculum reform. Third, the Sprint engine would benefit from integration with live coding practice platforms (LeetCode, HackerRank) to close the loop between problem identification and verified skill acquisition rather than relying solely on self-reported checkpoint completion.</w:t>
      </w:r>
    </w:p>
    <w:p>
      <w:pPr>
        <w:spacing w:after="0" w:before="0" w:line="240"/>
      </w:pPr>
      <w:r>
        <w:rPr>
          <w:sz w:val="80"/>
          <w:szCs w:val="80"/>
        </w:rPr>
        <w:t xml:space="preserve"/>
      </w:r>
    </w:p>
    <w:p>
      <w:pPr>
        <w:spacing w:after="60" w:before="120"/>
        <w:jc w:val="center"/>
      </w:pPr>
      <w:r>
        <w:rPr>
          <w:rFonts w:ascii="Times New Roman" w:cs="Times New Roman" w:eastAsia="Times New Roman" w:hAnsi="Times New Roman"/>
          <w:b/>
          <w:bCs/>
          <w:smallCaps/>
          <w:sz w:val="20"/>
          <w:szCs w:val="20"/>
        </w:rPr>
        <w:t xml:space="preserve">Acknowledgment</w:t>
      </w:r>
    </w:p>
    <w:p>
      <w:pPr>
        <w:spacing w:after="0" w:before="0" w:line="240"/>
        <w:jc w:val="both"/>
      </w:pPr>
      <w:r>
        <w:rPr>
          <w:rFonts w:ascii="Times New Roman" w:cs="Times New Roman" w:eastAsia="Times New Roman" w:hAnsi="Times New Roman"/>
          <w:sz w:val="20"/>
          <w:szCs w:val="20"/>
        </w:rPr>
        <w:t xml:space="preserve">The authors thank the students of the Department of Computer Science and Engineering who participated in the pilot evaluation and provided detailed feedback on the platform experience. This work was conducted as part of the B.Tech minor project programme. No external funding was received.</w:t>
      </w:r>
    </w:p>
    <w:p>
      <w:pPr>
        <w:spacing w:after="0" w:before="0" w:line="240"/>
      </w:pPr>
      <w:r>
        <w:rPr>
          <w:sz w:val="80"/>
          <w:szCs w:val="80"/>
        </w:rPr>
        <w:t xml:space="preserve"/>
      </w:r>
    </w:p>
    <w:p>
      <w:pPr>
        <w:spacing w:after="60" w:before="120"/>
        <w:jc w:val="center"/>
      </w:pPr>
      <w:r>
        <w:rPr>
          <w:rFonts w:ascii="Times New Roman" w:cs="Times New Roman" w:eastAsia="Times New Roman" w:hAnsi="Times New Roman"/>
          <w:b/>
          <w:bCs/>
          <w:smallCaps/>
          <w:sz w:val="20"/>
          <w:szCs w:val="20"/>
        </w:rPr>
        <w:t xml:space="preserve">References</w:t>
      </w:r>
    </w:p>
    <w:p>
      <w:pPr>
        <w:spacing w:after="0" w:before="0" w:line="240"/>
        <w:ind w:left="360" w:hanging="360"/>
        <w:jc w:val="both"/>
      </w:pPr>
      <w:r>
        <w:rPr>
          <w:rFonts w:ascii="Times New Roman" w:cs="Times New Roman" w:eastAsia="Times New Roman" w:hAnsi="Times New Roman"/>
          <w:sz w:val="16"/>
          <w:szCs w:val="16"/>
        </w:rPr>
        <w:t xml:space="preserve">[1]	NASSCOM, "Indian Tech Talent Supply and Demand 2024," National Association of Software and Service Companies, New Delhi, India, Tech. Rep., 2024.</w:t>
      </w:r>
    </w:p>
    <w:p>
      <w:pPr>
        <w:spacing w:after="0" w:before="0" w:line="240"/>
        <w:ind w:left="360" w:hanging="360"/>
        <w:jc w:val="both"/>
      </w:pPr>
      <w:r>
        <w:rPr>
          <w:rFonts w:ascii="Times New Roman" w:cs="Times New Roman" w:eastAsia="Times New Roman" w:hAnsi="Times New Roman"/>
          <w:sz w:val="16"/>
          <w:szCs w:val="16"/>
        </w:rPr>
        <w:t xml:space="preserve">[2]	Aspiring Minds, "National Employability Report: Engineering Graduates 2024," Aspiring Minds Assessment Pvt. Ltd., Gurgaon, India, 2024.</w:t>
      </w:r>
    </w:p>
    <w:p>
      <w:pPr>
        <w:spacing w:after="0" w:before="0" w:line="240"/>
        <w:ind w:left="360" w:hanging="360"/>
        <w:jc w:val="both"/>
      </w:pPr>
      <w:r>
        <w:rPr>
          <w:rFonts w:ascii="Times New Roman" w:cs="Times New Roman" w:eastAsia="Times New Roman" w:hAnsi="Times New Roman"/>
          <w:sz w:val="16"/>
          <w:szCs w:val="16"/>
        </w:rPr>
        <w:t xml:space="preserve">[3]	V. Kumar and A. Sharma, "Skill gap analysis in Indian engineering education: A systematic review," J. Eng. Educ. Transformations, vol. 36, no. 2, pp. 45–58, 2022.</w:t>
      </w:r>
    </w:p>
    <w:p>
      <w:pPr>
        <w:spacing w:after="0" w:before="0" w:line="240"/>
        <w:ind w:left="360" w:hanging="360"/>
        <w:jc w:val="both"/>
      </w:pPr>
      <w:r>
        <w:rPr>
          <w:rFonts w:ascii="Times New Roman" w:cs="Times New Roman" w:eastAsia="Times New Roman" w:hAnsi="Times New Roman"/>
          <w:sz w:val="16"/>
          <w:szCs w:val="16"/>
        </w:rPr>
        <w:t xml:space="preserve">[4]	LinkedIn Economic Graph Team, "Skills-First: Reimagining the Labor Market and Closing the Skills Gap," LinkedIn Corporation, Sunnyvale, CA, Tech. Rep., 2023.</w:t>
      </w:r>
    </w:p>
    <w:p>
      <w:pPr>
        <w:spacing w:after="0" w:before="0" w:line="240"/>
        <w:ind w:left="360" w:hanging="360"/>
        <w:jc w:val="both"/>
      </w:pPr>
      <w:r>
        <w:rPr>
          <w:rFonts w:ascii="Times New Roman" w:cs="Times New Roman" w:eastAsia="Times New Roman" w:hAnsi="Times New Roman"/>
          <w:sz w:val="16"/>
          <w:szCs w:val="16"/>
        </w:rPr>
        <w:t xml:space="preserve">[5]	T. Brown et al., "Language models are few-shot learners," in Proc. Advances in Neural Information Processing Systems (NeurIPS), vol. 33, 2020, pp. 1877–1901.</w:t>
      </w:r>
    </w:p>
    <w:p>
      <w:pPr>
        <w:spacing w:after="0" w:before="0" w:line="240"/>
        <w:ind w:left="360" w:hanging="360"/>
        <w:jc w:val="both"/>
      </w:pPr>
      <w:r>
        <w:rPr>
          <w:rFonts w:ascii="Times New Roman" w:cs="Times New Roman" w:eastAsia="Times New Roman" w:hAnsi="Times New Roman"/>
          <w:sz w:val="16"/>
          <w:szCs w:val="16"/>
        </w:rPr>
        <w:t xml:space="preserve">[6]	D. Taber et al., "Personalized learning path generation using large language models: A survey," in Proc. 14th Int. Conf. Educational Data Mining (EDM), 2021, pp. 212–221.</w:t>
      </w:r>
    </w:p>
    <w:p>
      <w:pPr>
        <w:spacing w:after="0" w:before="0" w:line="240"/>
        <w:ind w:left="360" w:hanging="360"/>
        <w:jc w:val="both"/>
      </w:pPr>
      <w:r>
        <w:rPr>
          <w:rFonts w:ascii="Times New Roman" w:cs="Times New Roman" w:eastAsia="Times New Roman" w:hAnsi="Times New Roman"/>
          <w:sz w:val="16"/>
          <w:szCs w:val="16"/>
        </w:rPr>
        <w:t xml:space="preserve">[7]	R. Mehta and P. Nair, "Digitisation challenges in university placement cells: An Indian institutional perspective," Int. J. Educational Technology in Higher Education, vol. 20, no. 1, art. 14, 2023.</w:t>
      </w:r>
    </w:p>
    <w:p>
      <w:pPr>
        <w:spacing w:after="0" w:before="0" w:line="240"/>
        <w:ind w:left="360" w:hanging="360"/>
        <w:jc w:val="both"/>
      </w:pPr>
      <w:r>
        <w:rPr>
          <w:rFonts w:ascii="Times New Roman" w:cs="Times New Roman" w:eastAsia="Times New Roman" w:hAnsi="Times New Roman"/>
          <w:sz w:val="16"/>
          <w:szCs w:val="16"/>
        </w:rPr>
        <w:t xml:space="preserve">[8]	Playwright Team, "Playwright: Reliable end-to-end testing for modern web apps," Microsoft Corporation, 2024. [Online]. Available: https://playwright.dev</w:t>
      </w:r>
    </w:p>
    <w:p>
      <w:pPr>
        <w:spacing w:after="0" w:before="0" w:line="240"/>
        <w:ind w:left="360" w:hanging="360"/>
        <w:jc w:val="both"/>
      </w:pPr>
      <w:r>
        <w:rPr>
          <w:rFonts w:ascii="Times New Roman" w:cs="Times New Roman" w:eastAsia="Times New Roman" w:hAnsi="Times New Roman"/>
          <w:sz w:val="16"/>
          <w:szCs w:val="16"/>
        </w:rPr>
        <w:t xml:space="preserve">[9]	Y. Zhang et al., "Big data analysis of job skill requirements in the Chinese technology labour market," J. Career Intelligence, vol. 14, no. 3, pp. 88–107, 2021.</w:t>
      </w:r>
    </w:p>
    <w:p>
      <w:pPr>
        <w:spacing w:after="0" w:before="0" w:line="240"/>
        <w:ind w:left="360" w:hanging="360"/>
        <w:jc w:val="both"/>
      </w:pPr>
      <w:r>
        <w:rPr>
          <w:rFonts w:ascii="Times New Roman" w:cs="Times New Roman" w:eastAsia="Times New Roman" w:hAnsi="Times New Roman"/>
          <w:sz w:val="16"/>
          <w:szCs w:val="16"/>
        </w:rPr>
        <w:t xml:space="preserve">[10]	J. Martinez-Gil, "Automated skill extraction from free text: A comprehensive review," IEEE Trans. Knowledge Data Eng., vol. 33, no. 8, pp. 3187–3202, 2021.</w:t>
      </w:r>
    </w:p>
    <w:p>
      <w:pPr>
        <w:spacing w:after="0" w:before="0" w:line="240"/>
        <w:ind w:left="360" w:hanging="360"/>
        <w:jc w:val="both"/>
      </w:pPr>
      <w:r>
        <w:rPr>
          <w:rFonts w:ascii="Times New Roman" w:cs="Times New Roman" w:eastAsia="Times New Roman" w:hAnsi="Times New Roman"/>
          <w:sz w:val="16"/>
          <w:szCs w:val="16"/>
        </w:rPr>
        <w:t xml:space="preserve">[11]	Superset, "University Placement Automation Platform," 2024. [Online]. Available: https://joinsuperset.com</w:t>
      </w:r>
    </w:p>
    <w:p>
      <w:pPr>
        <w:spacing w:after="0" w:before="0" w:line="240"/>
        <w:ind w:left="360" w:hanging="360"/>
        <w:jc w:val="both"/>
      </w:pPr>
      <w:r>
        <w:rPr>
          <w:rFonts w:ascii="Times New Roman" w:cs="Times New Roman" w:eastAsia="Times New Roman" w:hAnsi="Times New Roman"/>
          <w:sz w:val="16"/>
          <w:szCs w:val="16"/>
        </w:rPr>
        <w:t xml:space="preserve">[12]	Naukri.com, "India's Largest Job Portal," Info Edge India Ltd., 2024. [Online]. Available: https://naukri.com</w:t>
      </w:r>
    </w:p>
    <w:p>
      <w:pPr>
        <w:spacing w:after="0" w:before="0" w:line="240"/>
        <w:ind w:left="360" w:hanging="360"/>
        <w:jc w:val="both"/>
      </w:pPr>
      <w:r>
        <w:rPr>
          <w:rFonts w:ascii="Times New Roman" w:cs="Times New Roman" w:eastAsia="Times New Roman" w:hAnsi="Times New Roman"/>
          <w:sz w:val="16"/>
          <w:szCs w:val="16"/>
        </w:rPr>
        <w:t xml:space="preserve">[13]	Internshala, "Internships and Jobs for Students and Freshers," Internshala Trainings Pvt. Ltd., 2024. [Online]. Available: https://internshala.com</w:t>
      </w:r>
    </w:p>
    <w:p>
      <w:pPr>
        <w:spacing w:after="0" w:before="0" w:line="240"/>
        <w:ind w:left="360" w:hanging="360"/>
        <w:jc w:val="both"/>
      </w:pPr>
      <w:r>
        <w:rPr>
          <w:rFonts w:ascii="Times New Roman" w:cs="Times New Roman" w:eastAsia="Times New Roman" w:hAnsi="Times New Roman"/>
          <w:sz w:val="16"/>
          <w:szCs w:val="16"/>
        </w:rPr>
        <w:t xml:space="preserve">[14]	Aspiring Minds, "AMCAT: Standardised Employability Assessment," 2024. [Online]. Available: https://myamcat.com</w:t>
      </w:r>
    </w:p>
    <w:p>
      <w:pPr>
        <w:spacing w:after="0" w:before="0" w:line="240"/>
        <w:ind w:left="360" w:hanging="360"/>
        <w:jc w:val="both"/>
      </w:pPr>
      <w:r>
        <w:rPr>
          <w:rFonts w:ascii="Times New Roman" w:cs="Times New Roman" w:eastAsia="Times New Roman" w:hAnsi="Times New Roman"/>
          <w:sz w:val="16"/>
          <w:szCs w:val="16"/>
        </w:rPr>
        <w:t xml:space="preserve">[15]	Unstop, "Talent Platform for Students and Campus Hiring," formerly Dare2Compete, 2024. [Online]. Available: https://unstop.com</w:t>
      </w:r>
    </w:p>
    <w:p>
      <w:pPr>
        <w:spacing w:after="0" w:before="0" w:line="240"/>
        <w:ind w:left="360" w:hanging="360"/>
        <w:jc w:val="both"/>
      </w:pPr>
      <w:r>
        <w:rPr>
          <w:rFonts w:ascii="Times New Roman" w:cs="Times New Roman" w:eastAsia="Times New Roman" w:hAnsi="Times New Roman"/>
          <w:sz w:val="16"/>
          <w:szCs w:val="16"/>
        </w:rPr>
        <w:t xml:space="preserve">[16]	J. S. Chase et al., "CrewAI: A framework for orchestrating role-playing autonomous AI agents," 2024. [Online]. Available: https://crewai.com</w:t>
      </w:r>
    </w:p>
    <w:p>
      <w:pPr>
        <w:spacing w:after="0" w:before="0" w:line="240"/>
        <w:ind w:left="360" w:hanging="360"/>
        <w:jc w:val="both"/>
      </w:pPr>
      <w:r>
        <w:rPr>
          <w:rFonts w:ascii="Times New Roman" w:cs="Times New Roman" w:eastAsia="Times New Roman" w:hAnsi="Times New Roman"/>
          <w:sz w:val="16"/>
          <w:szCs w:val="16"/>
        </w:rPr>
        <w:t xml:space="preserve">[17]	F. Olshannikova et al., "Scraping the web for employment data: A methodological review," J. Web Semantics, vol. 68, art. 100642, 2021.</w:t>
      </w:r>
    </w:p>
    <w:p>
      <w:pPr>
        <w:spacing w:after="0" w:before="0" w:line="240"/>
        <w:ind w:left="360" w:hanging="360"/>
        <w:jc w:val="both"/>
      </w:pPr>
      <w:r>
        <w:rPr>
          <w:rFonts w:ascii="Times New Roman" w:cs="Times New Roman" w:eastAsia="Times New Roman" w:hAnsi="Times New Roman"/>
          <w:sz w:val="16"/>
          <w:szCs w:val="16"/>
        </w:rPr>
        <w:t xml:space="preserve">[18]	puppeteer-extra-plugin-stealth, "Stealth plugin for puppeteer and playwright," berstend, 2023. [Online]. Available: https://github.com/berstend/puppeteer-extra/tree/master/packages/puppeteer-extra-plugin-stealth</w:t>
      </w:r>
    </w:p>
    <w:sectPr>
      <w:type w:val="continuous"/>
      <w:pgSz w:w="12240" w:h="15840" w:orient="portrait"/>
      <w:pgMar w:top="1080" w:right="900" w:bottom="1440" w:left="90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6"/>
        <w:szCs w:val="16"/>
      </w:rPr>
      <w:t xml:space="preserve">978-1-XXXX-XXXX-X/25/$31.00 ©2025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2026-04-21T18:38:57.427Z</dcterms:created>
  <dcterms:modified xsi:type="dcterms:W3CDTF">2026-04-21T18:38:57.428Z</dcterms:modified>
</cp:coreProperties>
</file>

<file path=docProps/custom.xml><?xml version="1.0" encoding="utf-8"?>
<Properties xmlns="http://schemas.openxmlformats.org/officeDocument/2006/custom-properties" xmlns:vt="http://schemas.openxmlformats.org/officeDocument/2006/docPropsVTypes"/>
</file>