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rPr>
      </w:pPr>
      <w:r w:rsidDel="00000000" w:rsidR="00000000" w:rsidRPr="00000000">
        <w:rPr>
          <w:sz w:val="56"/>
          <w:szCs w:val="56"/>
          <w:rtl w:val="0"/>
        </w:rPr>
        <w:tab/>
        <w:t xml:space="preserve">   Team Meeting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32"/>
                <w:szCs w:val="32"/>
                <w:rtl w:val="0"/>
              </w:rPr>
              <w:t xml:space="preserve">Attendees: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t xml:space="preserve">     Max, Kyle, Vishnu, Tarun, Nikhil, Jaitra, Jacob, Sophia, Shobini, Mukul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Time:</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10:30-12:00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Location:</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Fonts w:ascii="Roboto" w:cs="Roboto" w:eastAsia="Roboto" w:hAnsi="Roboto"/>
                <w:sz w:val="20"/>
                <w:szCs w:val="20"/>
                <w:highlight w:val="white"/>
                <w:rtl w:val="0"/>
              </w:rPr>
              <w:t xml:space="preserve">4879 State St, Bettendorf, IA 52722</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t xml:space="preserve">Arconic is the world’s largest aluminum manufacturer. The building is 1 ¼ miles long and includes many machines. </w:t>
            </w:r>
            <w:r w:rsidDel="00000000" w:rsidR="00000000" w:rsidRPr="00000000">
              <w:rPr>
                <w:color w:val="282828"/>
                <w:highlight w:val="white"/>
                <w:rtl w:val="0"/>
              </w:rPr>
              <w:t xml:space="preserve">They </w:t>
            </w:r>
            <w:r w:rsidDel="00000000" w:rsidR="00000000" w:rsidRPr="00000000">
              <w:rPr>
                <w:color w:val="282828"/>
                <w:highlight w:val="white"/>
                <w:rtl w:val="0"/>
              </w:rPr>
              <w:t xml:space="preserve">develop and manufacture high performance, engineered products and solutions for the aerospace, industrial gas turbine, commercial transportation, and oil and gas markets. From making plates to ingots to rolls, they supply companies all over the world. Arconic creates different alloys that each have a different purpose to their customers. Over the course of the building, they have many types of transportation and lots of product movement. With 10 cranes that each lift 2 tons, these “robots” make life around there much easier.</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3"/>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760" w:hRule="atLeast"/>
        </w:trPr>
        <w:tc>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Presentation</w:t>
            </w:r>
          </w:p>
        </w:tc>
        <w:tc>
          <w:tcPr/>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Wanted to know more about Girls on the Run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Kyle could have added more about last year's awards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Gave robot demo with company mini-robot</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Tour</w:t>
            </w:r>
          </w:p>
        </w:tc>
        <w:tc>
          <w:tcPr/>
          <w:p w:rsidR="00000000" w:rsidDel="00000000" w:rsidP="00000000" w:rsidRDefault="00000000" w:rsidRPr="00000000">
            <w:pPr>
              <w:numPr>
                <w:ilvl w:val="0"/>
                <w:numId w:val="6"/>
              </w:numPr>
              <w:ind w:left="720" w:hanging="360"/>
              <w:contextualSpacing w:val="1"/>
              <w:jc w:val="left"/>
              <w:rPr/>
            </w:pPr>
            <w:r w:rsidDel="00000000" w:rsidR="00000000" w:rsidRPr="00000000">
              <w:rPr>
                <w:rtl w:val="0"/>
              </w:rPr>
              <w:t xml:space="preserve">Went around in a long golf cart because building is so big</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Many world records on aluminum manufacturing</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Tour was shown by Jeffrey Richland, a worker at Arconic</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ind w:left="720" w:hanging="360"/>
              <w:contextualSpacing w:val="0"/>
              <w:jc w:val="left"/>
              <w:rPr>
                <w:sz w:val="20"/>
                <w:szCs w:val="20"/>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5"/>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Vishnu Challa</w:t>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9/23/17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9/13/17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w:t>
      </w:r>
      <w:r w:rsidDel="00000000" w:rsidR="00000000" w:rsidRPr="00000000">
        <w:rPr>
          <w:rtl w:val="0"/>
        </w:rPr>
        <w:t xml:space="preserve">Max, Kyle, Vishnu, Tarun, Nikhil, Jaitra, Jacob, Sophia, Shobini, Mukul</w:t>
      </w:r>
      <w:r w:rsidDel="00000000" w:rsidR="00000000" w:rsidRPr="00000000">
        <w:rPr>
          <w:rFonts w:ascii="Arial" w:cs="Arial" w:eastAsia="Arial" w:hAnsi="Arial"/>
          <w:rtl w:val="0"/>
        </w:rPr>
        <w:t xml:space="preserve"> </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widowControl w:val="0"/>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We learned a lot about manufacturing, especially aluminum</w:t>
            </w:r>
          </w:p>
          <w:p w:rsidR="00000000" w:rsidDel="00000000" w:rsidP="00000000" w:rsidRDefault="00000000" w:rsidRPr="00000000">
            <w:pPr>
              <w:widowControl w:val="0"/>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Give back to the company that gives space for our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3"/>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Give more attention to sponsorship packets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Give a more interactive presentation</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Present different topics for the different companies we go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Where does Arconic get their aluminum?</w: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headerReference r:id="rId7" w:type="first"/>
      <w:footerReference r:id="rId8" w:type="firs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