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line="276" w:lineRule="auto"/>
        <w:jc w:val="center"/>
      </w:pPr>
      <w:r>
        <w:rPr>
          <w:rFonts w:ascii="Calibri" w:hAnsi="Calibri"/>
          <w:b/>
          <w:i w:val="0"/>
          <w:color w:val="141A21"/>
          <w:sz w:val="60"/>
        </w:rPr>
        <w:t>LA MAGIE DES SOCIETES</w:t>
      </w:r>
    </w:p>
    <w:p>
      <w:pPr>
        <w:spacing w:before="0" w:after="600" w:line="276" w:lineRule="auto"/>
        <w:jc w:val="center"/>
      </w:pPr>
      <w:r>
        <w:rPr>
          <w:rFonts w:ascii="Calibri" w:hAnsi="Calibri"/>
          <w:b w:val="0"/>
          <w:i/>
          <w:color w:val="B08D3E"/>
          <w:sz w:val="28"/>
        </w:rPr>
        <w:t>Travailler différemment pour gagner plus</w:t>
      </w:r>
    </w:p>
    <w:p>
      <w:pPr>
        <w:spacing w:before="0" w:after="80" w:line="276" w:lineRule="auto"/>
        <w:jc w:val="center"/>
      </w:pPr>
      <w:r>
        <w:rPr>
          <w:rFonts w:ascii="Calibri" w:hAnsi="Calibri"/>
          <w:b/>
          <w:i w:val="0"/>
          <w:color w:val="141A21"/>
          <w:sz w:val="40"/>
        </w:rPr>
        <w:t>LE TRIANGLE MAGIQUE</w:t>
      </w:r>
    </w:p>
    <w:p>
      <w:pPr>
        <w:spacing w:before="0" w:after="1200" w:line="276" w:lineRule="auto"/>
        <w:jc w:val="center"/>
      </w:pPr>
      <w:r>
        <w:rPr>
          <w:rFonts w:ascii="Calibri" w:hAnsi="Calibri"/>
          <w:b w:val="0"/>
          <w:i w:val="0"/>
          <w:color w:val="B08D3E"/>
          <w:sz w:val="24"/>
        </w:rPr>
        <w:t>Créer et gérer son patrimoine en sociétés !</w:t>
      </w:r>
    </w:p>
    <w:p>
      <w:pPr>
        <w:spacing w:before="0" w:after="40" w:line="276" w:lineRule="auto"/>
        <w:jc w:val="center"/>
      </w:pPr>
      <w:r>
        <w:rPr>
          <w:rFonts w:ascii="Calibri" w:hAnsi="Calibri"/>
          <w:b w:val="0"/>
          <w:i w:val="0"/>
          <w:color w:val="141A21"/>
          <w:sz w:val="24"/>
        </w:rPr>
        <w:t>ROMAIN LEMAIRE</w:t>
      </w:r>
    </w:p>
    <w:p>
      <w:r>
        <w:br w:type="page"/>
      </w:r>
    </w:p>
    <w:p>
      <w:pPr>
        <w:spacing w:before="0" w:after="240" w:line="276" w:lineRule="auto"/>
      </w:pPr>
      <w:r>
        <w:rPr>
          <w:rFonts w:ascii="Calibri" w:hAnsi="Calibri"/>
          <w:b/>
          <w:i w:val="0"/>
          <w:color w:val="141A21"/>
          <w:sz w:val="44"/>
        </w:rPr>
        <w:t>Sommaire</w:t>
      </w:r>
    </w:p>
    <w:p>
      <w:r>
        <w:fldChar w:fldCharType="begin"/>
        <w:instrText xml:space="preserve">TOC \o "1-2" \h \z \u</w:instrText>
        <w:fldChar w:fldCharType="separate"/>
        <w:t>Faites un clic droit ici puis « Mettre à jour les champs » pour générer le sommaire.</w:t>
        <w:fldChar w:fldCharType="end"/>
      </w:r>
    </w:p>
    <w:p>
      <w:r>
        <w:br w:type="page"/>
      </w:r>
    </w:p>
    <w:p>
      <w:r>
        <w:br w:type="page"/>
      </w:r>
    </w:p>
    <w:p>
      <w:pPr>
        <w:pStyle w:val="Heading1"/>
        <w:spacing w:before="800" w:after="160" w:line="276" w:lineRule="auto"/>
      </w:pPr>
      <w:r>
        <w:rPr>
          <w:rFonts w:ascii="Calibri" w:hAnsi="Calibri"/>
          <w:b/>
          <w:i w:val="0"/>
          <w:color w:val="8A6F3A"/>
          <w:sz w:val="48"/>
        </w:rPr>
        <w:t>Introduction</w:t>
      </w:r>
    </w:p>
    <w:p>
      <w:pPr>
        <w:spacing w:before="0" w:after="180" w:line="264" w:lineRule="auto"/>
        <w:jc w:val="both"/>
      </w:pPr>
      <w:r>
        <w:rPr>
          <w:rFonts w:ascii="Cambria" w:hAnsi="Cambria"/>
          <w:b w:val="0"/>
          <w:i w:val="0"/>
          <w:color w:val="141A21"/>
          <w:sz w:val="22"/>
        </w:rPr>
        <w:t>Patron, chef d’entreprise, président, boss ou big boss, voila des adjectifs qui en fait sont des synonymes d’ENTREPRENEUR.</w:t>
      </w:r>
    </w:p>
    <w:p>
      <w:pPr>
        <w:spacing w:before="0" w:after="180" w:line="264" w:lineRule="auto"/>
        <w:ind w:firstLine="340"/>
        <w:jc w:val="both"/>
      </w:pPr>
      <w:r>
        <w:rPr>
          <w:rFonts w:ascii="Cambria" w:hAnsi="Cambria"/>
          <w:b w:val="0"/>
          <w:i w:val="0"/>
          <w:color w:val="141A21"/>
          <w:sz w:val="22"/>
        </w:rPr>
        <w:t>Que veut dire ce terme ? d’après le dictionnaire LAROUSSE cela signifie :</w:t>
      </w:r>
    </w:p>
    <w:p>
      <w:pPr>
        <w:spacing w:before="200" w:after="240" w:line="288" w:lineRule="auto"/>
        <w:ind w:left="397"/>
        <w:jc w:val="both"/>
        <w:pBdr>
          <w:left w:val="single" w:sz="18" w:space="10" w:color="b08d3e"/>
        </w:pBdr>
      </w:pPr>
      <w:r>
        <w:rPr>
          <w:rFonts w:ascii="Cambria" w:hAnsi="Cambria"/>
          <w:b w:val="0"/>
          <w:i/>
          <w:color w:val="3C3A34"/>
          <w:sz w:val="21"/>
        </w:rPr>
        <w:t>« Celui qui exécute certains travaux à son propre compte. »</w:t>
      </w:r>
    </w:p>
    <w:p>
      <w:pPr>
        <w:spacing w:before="0" w:after="180" w:line="264" w:lineRule="auto"/>
        <w:ind w:firstLine="340"/>
        <w:jc w:val="both"/>
      </w:pPr>
      <w:r>
        <w:rPr>
          <w:rFonts w:ascii="Cambria" w:hAnsi="Cambria"/>
          <w:b w:val="0"/>
          <w:i w:val="0"/>
          <w:color w:val="141A21"/>
          <w:sz w:val="22"/>
        </w:rPr>
        <w:t>Tout d’abord il convient que je me justifie vis-à-vis de la gente féminine. Le fait de conjuguer au masculin ce nom propre, n’est pas un signe de misogynie mais une fainéantise intellectuelle qui me permet de simplifier ma rédaction. Evidemment que je n’oublie pas nos ENTREPRENEUSES, ma maman ne me le pardonnerait pas, elle qui a œuvrer une partie de sa vie pour faire reconnaitre la FEMME dans la Société et qui à été honorée par deux fois par la Nation pour son travail accompli dans ce domaine. De plus il suffit de constater que les palmarès de CHALLENGE ou de FORBES classent de plus en plus d’entreprises dirigée par des femmes ; et surtout je ne peux oublier mon épouse qui profession libérale se bat chaque jour comme un bélier pour développer son entreprise avec ténacité et inventivité.</w:t>
      </w:r>
    </w:p>
    <w:p>
      <w:pPr>
        <w:spacing w:before="0" w:after="180" w:line="264" w:lineRule="auto"/>
        <w:ind w:firstLine="340"/>
        <w:jc w:val="both"/>
      </w:pPr>
      <w:r>
        <w:rPr>
          <w:rFonts w:ascii="Cambria" w:hAnsi="Cambria"/>
          <w:b w:val="0"/>
          <w:i w:val="0"/>
          <w:color w:val="141A21"/>
          <w:sz w:val="22"/>
        </w:rPr>
        <w:t>Donc nous sommes d’accord que nous retenons le terme ENTREPRENEUR.</w:t>
      </w:r>
    </w:p>
    <w:p>
      <w:pPr>
        <w:spacing w:before="0" w:after="180" w:line="264" w:lineRule="auto"/>
        <w:ind w:firstLine="340"/>
        <w:jc w:val="both"/>
      </w:pPr>
      <w:r>
        <w:rPr>
          <w:rFonts w:ascii="Cambria" w:hAnsi="Cambria"/>
          <w:b w:val="0"/>
          <w:i w:val="0"/>
          <w:color w:val="141A21"/>
          <w:sz w:val="22"/>
        </w:rPr>
        <w:t>En fait ma vision est plutôt simpliste :</w:t>
      </w:r>
    </w:p>
    <w:p>
      <w:pPr>
        <w:spacing w:before="0" w:after="180" w:line="264" w:lineRule="auto"/>
        <w:ind w:firstLine="340"/>
        <w:jc w:val="both"/>
      </w:pPr>
      <w:r>
        <w:rPr>
          <w:rFonts w:ascii="Cambria" w:hAnsi="Cambria"/>
          <w:b w:val="0"/>
          <w:i w:val="0"/>
          <w:color w:val="141A21"/>
          <w:sz w:val="22"/>
        </w:rPr>
        <w:t>Pour mieux comprendre cette vision, il faut que je vous informe être tombé dans la marmite de l’entrepreneuriat à l’âge de 10 ans. Ma maman ayant « fini » sa carrière d’agent dans une entreprise d’électricité que je ne citerai pas, décide en 1978 de créer une société d’informatique pour développer des logiciels de comptabilité et de gestion ainsi que du traitement de données. Faut dire que son premier client est tout proche d’elle puisque mon papa avait décidé en 1972 et après avoir été professeur de comptabilité pendant 15 ans, de créer son cabinet d’expertise-comptable et voila que notre maison deviens un véritable chassé-croisé avec des collaborateurs et les 4 enfants de la famille. L’avantage était que ma curiosité était satisfaite, on voyait en direct le « reality show » des LEMAIRE.</w:t>
      </w:r>
    </w:p>
    <w:p>
      <w:pPr>
        <w:spacing w:before="0" w:after="180" w:line="264" w:lineRule="auto"/>
        <w:ind w:firstLine="340"/>
        <w:jc w:val="both"/>
      </w:pPr>
      <w:r>
        <w:rPr>
          <w:rFonts w:ascii="Cambria" w:hAnsi="Cambria"/>
          <w:b w:val="0"/>
          <w:i w:val="0"/>
          <w:color w:val="141A21"/>
          <w:sz w:val="22"/>
        </w:rPr>
        <w:t>Une fois constaté que le salon familial était devenu un bureau avec 4 collaborateurs, que la cuisine avait déménagée au sous-sol pour laissé une salle de reproduction avec des imprimantes qui avaient la taille de cuisinières, et que la famille vivait maintenant dans le grenier je me suis posé une question fondamentale : qu’est ce qui fait bouger mes parents comme cela ?</w:t>
      </w:r>
    </w:p>
    <w:p>
      <w:pPr>
        <w:spacing w:before="0" w:after="180" w:line="264" w:lineRule="auto"/>
        <w:ind w:firstLine="340"/>
        <w:jc w:val="both"/>
      </w:pPr>
      <w:r>
        <w:rPr>
          <w:rFonts w:ascii="Cambria" w:hAnsi="Cambria"/>
          <w:b w:val="0"/>
          <w:i w:val="0"/>
          <w:color w:val="141A21"/>
          <w:sz w:val="22"/>
        </w:rPr>
        <w:t>J’ai découvert à ce moment que c’était le fait de devenir ENTREPRENEUR !</w:t>
      </w:r>
    </w:p>
    <w:p>
      <w:pPr>
        <w:spacing w:before="0" w:after="180" w:line="264" w:lineRule="auto"/>
        <w:ind w:firstLine="340"/>
        <w:jc w:val="both"/>
      </w:pPr>
      <w:r>
        <w:rPr>
          <w:rFonts w:ascii="Cambria" w:hAnsi="Cambria"/>
          <w:b w:val="0"/>
          <w:i w:val="0"/>
          <w:color w:val="141A21"/>
          <w:sz w:val="22"/>
        </w:rPr>
        <w:t>L’idée m’a plu et j’ai commencé à entrer, par procuration, dans ce monde.</w:t>
      </w:r>
    </w:p>
    <w:p>
      <w:pPr>
        <w:spacing w:before="0" w:after="180" w:line="264" w:lineRule="auto"/>
        <w:ind w:firstLine="340"/>
        <w:jc w:val="both"/>
      </w:pPr>
      <w:r>
        <w:rPr>
          <w:rFonts w:ascii="Cambria" w:hAnsi="Cambria"/>
          <w:b w:val="0"/>
          <w:i w:val="0"/>
          <w:color w:val="141A21"/>
          <w:sz w:val="22"/>
        </w:rPr>
        <w:t>J’aimais rendre ce service de l’ENTREPRENEUR, a mon niveau cela signifiait « aider » mes parents quand tard dans la soirée on constatait qu’ils travaillaient toujours, alors j’allais voir mon père qui me proposait de faire des photocopies ou de ranger des documents dans des dossiers. Très vite j’étais premier de la classe en organisation de dossier ; pour mon malheur car après je travaillais pendants mes vacances à « faire les archives » que de paperasse. Quand j’allais voir ma mère c’était plutôt pour « saisir » des données dans les mémoires des ordinateurs et effectuer les éditions qui permettrait dès le lendemain matin aux collaborateurs du cabinet comptable d’effectuer leur travail. C’était ça aussi ENTREPRENEUR savoir préparer le terrain pour que ses équipes puissent travailler dans les meilleures conditions.</w:t>
      </w:r>
    </w:p>
    <w:p>
      <w:pPr>
        <w:spacing w:before="0" w:after="180" w:line="264" w:lineRule="auto"/>
        <w:ind w:firstLine="340"/>
        <w:jc w:val="both"/>
      </w:pPr>
      <w:r>
        <w:rPr>
          <w:rFonts w:ascii="Cambria" w:hAnsi="Cambria"/>
          <w:b w:val="0"/>
          <w:i w:val="0"/>
          <w:color w:val="141A21"/>
          <w:sz w:val="22"/>
        </w:rPr>
        <w:t>Tout naturellement j’ai effectué des études d’expertise comptable alors que ma mère me voyait devenir avocat ; elle ne s’est pas beaucoup trompée, nous verrons pourquoi plus tard.</w:t>
      </w:r>
    </w:p>
    <w:p>
      <w:pPr>
        <w:spacing w:before="0" w:after="180" w:line="264" w:lineRule="auto"/>
        <w:ind w:firstLine="340"/>
        <w:jc w:val="both"/>
      </w:pPr>
      <w:r>
        <w:rPr>
          <w:rFonts w:ascii="Cambria" w:hAnsi="Cambria"/>
          <w:b w:val="0"/>
          <w:i w:val="0"/>
          <w:color w:val="141A21"/>
          <w:sz w:val="22"/>
        </w:rPr>
        <w:t>Encore étudiant mais tout juste majeur, j’ai créé avec un ami ma première société dans le domaine de l’informatique. Nous étions les sous-traitants principaux de la société de ma mère mais nous développions plus rapidement nos logiciels car nous n’avions pas d’horaires. Grande force de l’entrepreneur qui ne regarde pas sa montre (d’ailleurs je n’en porte pratiquement jamais sauf en déplacements à l’étranger pour avoir un double fuseau horaire et rester en contact avec les bonnes personnes au bon moment) ; nous étions capable de travailler toute la nuit et ensuite je repartais en cours. Quelques années plus tard j’ai cédé ma participation dans cette société pour créer ma première « grande entreprise d’exploitation » en 1990, AF.R, qui avait pour vocation d’être un « centre d’affaires » regroupant l’ensemble des services à fournir aux entreprises, de la domiciliation commerciale à la comptabilité, que nous développerons plus tard dans des exemples précis. Mes revenus augmentant et inexorablement mon imposition, j’ai décidé d’investir dans de l’immobilier. Dès ce moment m’est venu la question « comment dois-je acheter, en personnel ou au travers d’une société ? » et à ce jour j’ai CREER ce que j’ai nommé plus tard LE TRIANGLE MAGIQUE en référence au carré magique.</w:t>
      </w:r>
    </w:p>
    <w:p>
      <w:pPr>
        <w:pStyle w:val="Heading3"/>
        <w:spacing w:before="400" w:after="100" w:line="276" w:lineRule="auto"/>
      </w:pPr>
      <w:r>
        <w:rPr>
          <w:rFonts w:ascii="Calibri" w:hAnsi="Calibri"/>
          <w:b/>
          <w:i w:val="0"/>
          <w:color w:val="141A21"/>
          <w:sz w:val="27"/>
        </w:rPr>
        <w:t>Les carrés magiques, une inspiration</w:t>
      </w:r>
    </w:p>
    <w:p>
      <w:pPr>
        <w:spacing w:before="0" w:after="180" w:line="264" w:lineRule="auto"/>
        <w:jc w:val="both"/>
      </w:pPr>
      <w:r>
        <w:rPr>
          <w:rFonts w:ascii="Cambria" w:hAnsi="Cambria"/>
          <w:b w:val="0"/>
          <w:i w:val="0"/>
          <w:color w:val="141A21"/>
          <w:sz w:val="22"/>
        </w:rPr>
        <w:t>Les carrés magiques étaient connus des mathématiciens chinois, à partir de 650 av. J.-C, ce qui incluait certains aspects de la combinatoire.</w:t>
      </w:r>
    </w:p>
    <w:p>
      <w:pPr>
        <w:spacing w:before="0" w:after="180" w:line="264" w:lineRule="auto"/>
        <w:ind w:firstLine="340"/>
        <w:jc w:val="both"/>
      </w:pPr>
      <w:r>
        <w:rPr>
          <w:rFonts w:ascii="Cambria" w:hAnsi="Cambria"/>
          <w:b w:val="0"/>
          <w:i w:val="0"/>
          <w:color w:val="141A21"/>
          <w:sz w:val="22"/>
        </w:rPr>
        <w:t>Les premiers carrés magiques d'ordres 5 et 6 apparurent dans une encyclopédie publiée à Bagdad vers 983, « l’Encyclopédie de la Fraternité de la pureté » (Rasa'il Ikhwan al-Safa).</w:t>
      </w:r>
    </w:p>
    <w:p>
      <w:pPr>
        <w:spacing w:before="0" w:after="180" w:line="264" w:lineRule="auto"/>
        <w:ind w:firstLine="340"/>
        <w:jc w:val="both"/>
      </w:pPr>
      <w:r>
        <w:rPr>
          <w:rFonts w:ascii="Cambria" w:hAnsi="Cambria"/>
          <w:b w:val="0"/>
          <w:i w:val="0"/>
          <w:color w:val="141A21"/>
          <w:sz w:val="22"/>
        </w:rPr>
        <w:t>Les Arabes seraient les premiers, au Xe siècle, à les utiliser à des fins purement mathématiques. Ahmad al-Buni, vers 1250 leur attribue des propriétés magiques. En 1510, le philosophe allemand Cornelius Agrippa (1486-1535), parle de nouveau des carrés magiques, avec toujours une connotation religieuse, il écrit un traité De Occulta « Philosophia » où il expose une théorie mêlant astrologie et carrés magiques. S'appuyant sur les écrits de Marsile Ficin et de Jean Pic de la Mirandole, il explique les propriétés de sept carrés magiques d'ordre 3 à 9, chacun étant associé à l'une des planètes astrologiques. Cet ouvrage eut une influence marquée en Europe jusqu'à la Contre-Réforme. Simon de La Loubère, diplomate et mathématicien français, publie en 1691 « Du Royaume de Siam ». Il introduit pour la première fois dans la langue française le terme « carré magique », et expose une nouvelle méthode de construction, dite « méthode siamoise », permettant de construire des carrés d'ordre impair arbitraire. Au XVIIe siècle, le juriste et mathématicien français Pierre de Fermat étend le principe des carrés magiques aux « cubes magiques ». Bernard Frénicle de Bessy écrit un traité sur les carrés magiques (rédigé dans les années 1640, mais publié à titre posthume en 1693), et des tables pour tous les carrés d'ordre 4.</w:t>
      </w:r>
    </w:p>
    <w:p>
      <w:pPr>
        <w:spacing w:before="0" w:after="180" w:line="264" w:lineRule="auto"/>
        <w:ind w:firstLine="340"/>
        <w:jc w:val="both"/>
      </w:pPr>
      <w:r>
        <w:rPr>
          <w:rFonts w:ascii="Cambria" w:hAnsi="Cambria"/>
          <w:b w:val="0"/>
          <w:i w:val="0"/>
          <w:color w:val="141A21"/>
          <w:sz w:val="22"/>
        </w:rPr>
        <w:t>En mathématiques, un carré magique d’ordre n est composé de n2 entiers strictement positifs, écrits sous la forme d’un tableau carré. Ces nombres sont disposés de sorte que leurs sommes sur chaque rangée, sur chaque colonne et sur chaque diagonale principale soient égales. On nomme alors constante magique (et parfois densité) la valeur de ces sommes.</w:t>
      </w:r>
    </w:p>
    <w:tbl>
      <w:tblPr>
        <w:tblStyle w:val="TableGrid"/>
        <w:tblW w:type="auto" w:w="0"/>
        <w:jc w:val="center"/>
        <w:tblLook w:firstColumn="1" w:firstRow="1" w:lastColumn="0" w:lastRow="0" w:noHBand="0" w:noVBand="1" w:val="04A0"/>
      </w:tblPr>
      <w:tblGrid>
        <w:gridCol w:w="1687"/>
        <w:gridCol w:w="1687"/>
        <w:gridCol w:w="1687"/>
        <w:gridCol w:w="1687"/>
      </w:tblGrid>
      <w:tr>
        <w:tc>
          <w:tcPr>
            <w:tcW w:type="dxa" w:w="794"/>
            <w:shd w:val="clear" w:color="auto" w:fill="faf7f1"/>
          </w:tcPr>
          <w:p>
            <w:pPr>
              <w:jc w:val="center"/>
            </w:pPr>
            <w:r>
              <w:rPr>
                <w:rFonts w:ascii="Calibri" w:hAnsi="Calibri"/>
                <w:color w:val="141A21"/>
                <w:sz w:val="26"/>
              </w:rPr>
              <w:t>16</w:t>
            </w:r>
          </w:p>
        </w:tc>
        <w:tc>
          <w:tcPr>
            <w:tcW w:type="dxa" w:w="794"/>
            <w:shd w:val="clear" w:color="auto" w:fill="faf7f1"/>
          </w:tcPr>
          <w:p>
            <w:pPr>
              <w:jc w:val="center"/>
            </w:pPr>
            <w:r>
              <w:rPr>
                <w:rFonts w:ascii="Calibri" w:hAnsi="Calibri"/>
                <w:color w:val="141A21"/>
                <w:sz w:val="26"/>
              </w:rPr>
              <w:t>3</w:t>
            </w:r>
          </w:p>
        </w:tc>
        <w:tc>
          <w:tcPr>
            <w:tcW w:type="dxa" w:w="794"/>
            <w:shd w:val="clear" w:color="auto" w:fill="faf7f1"/>
          </w:tcPr>
          <w:p>
            <w:pPr>
              <w:jc w:val="center"/>
            </w:pPr>
            <w:r>
              <w:rPr>
                <w:rFonts w:ascii="Calibri" w:hAnsi="Calibri"/>
                <w:color w:val="141A21"/>
                <w:sz w:val="26"/>
              </w:rPr>
              <w:t>2</w:t>
            </w:r>
          </w:p>
        </w:tc>
        <w:tc>
          <w:tcPr>
            <w:tcW w:type="dxa" w:w="794"/>
            <w:shd w:val="clear" w:color="auto" w:fill="faf7f1"/>
          </w:tcPr>
          <w:p>
            <w:pPr>
              <w:jc w:val="center"/>
            </w:pPr>
            <w:r>
              <w:rPr>
                <w:rFonts w:ascii="Calibri" w:hAnsi="Calibri"/>
                <w:color w:val="141A21"/>
                <w:sz w:val="26"/>
              </w:rPr>
              <w:t>13</w:t>
            </w:r>
          </w:p>
        </w:tc>
      </w:tr>
      <w:tr>
        <w:tc>
          <w:tcPr>
            <w:tcW w:type="dxa" w:w="794"/>
            <w:shd w:val="clear" w:color="auto" w:fill="faf7f1"/>
          </w:tcPr>
          <w:p>
            <w:pPr>
              <w:jc w:val="center"/>
            </w:pPr>
            <w:r>
              <w:rPr>
                <w:rFonts w:ascii="Calibri" w:hAnsi="Calibri"/>
                <w:color w:val="141A21"/>
                <w:sz w:val="26"/>
              </w:rPr>
              <w:t>5</w:t>
            </w:r>
          </w:p>
        </w:tc>
        <w:tc>
          <w:tcPr>
            <w:tcW w:type="dxa" w:w="794"/>
            <w:shd w:val="clear" w:color="auto" w:fill="faf7f1"/>
          </w:tcPr>
          <w:p>
            <w:pPr>
              <w:jc w:val="center"/>
            </w:pPr>
            <w:r>
              <w:rPr>
                <w:rFonts w:ascii="Calibri" w:hAnsi="Calibri"/>
                <w:color w:val="141A21"/>
                <w:sz w:val="26"/>
              </w:rPr>
              <w:t>10</w:t>
            </w:r>
          </w:p>
        </w:tc>
        <w:tc>
          <w:tcPr>
            <w:tcW w:type="dxa" w:w="794"/>
            <w:shd w:val="clear" w:color="auto" w:fill="faf7f1"/>
          </w:tcPr>
          <w:p>
            <w:pPr>
              <w:jc w:val="center"/>
            </w:pPr>
            <w:r>
              <w:rPr>
                <w:rFonts w:ascii="Calibri" w:hAnsi="Calibri"/>
                <w:color w:val="141A21"/>
                <w:sz w:val="26"/>
              </w:rPr>
              <w:t>11</w:t>
            </w:r>
          </w:p>
        </w:tc>
        <w:tc>
          <w:tcPr>
            <w:tcW w:type="dxa" w:w="794"/>
            <w:shd w:val="clear" w:color="auto" w:fill="faf7f1"/>
          </w:tcPr>
          <w:p>
            <w:pPr>
              <w:jc w:val="center"/>
            </w:pPr>
            <w:r>
              <w:rPr>
                <w:rFonts w:ascii="Calibri" w:hAnsi="Calibri"/>
                <w:color w:val="141A21"/>
                <w:sz w:val="26"/>
              </w:rPr>
              <w:t>8</w:t>
            </w:r>
          </w:p>
        </w:tc>
      </w:tr>
      <w:tr>
        <w:tc>
          <w:tcPr>
            <w:tcW w:type="dxa" w:w="794"/>
            <w:shd w:val="clear" w:color="auto" w:fill="faf7f1"/>
          </w:tcPr>
          <w:p>
            <w:pPr>
              <w:jc w:val="center"/>
            </w:pPr>
            <w:r>
              <w:rPr>
                <w:rFonts w:ascii="Calibri" w:hAnsi="Calibri"/>
                <w:color w:val="141A21"/>
                <w:sz w:val="26"/>
              </w:rPr>
              <w:t>9</w:t>
            </w:r>
          </w:p>
        </w:tc>
        <w:tc>
          <w:tcPr>
            <w:tcW w:type="dxa" w:w="794"/>
            <w:shd w:val="clear" w:color="auto" w:fill="faf7f1"/>
          </w:tcPr>
          <w:p>
            <w:pPr>
              <w:jc w:val="center"/>
            </w:pPr>
            <w:r>
              <w:rPr>
                <w:rFonts w:ascii="Calibri" w:hAnsi="Calibri"/>
                <w:color w:val="141A21"/>
                <w:sz w:val="26"/>
              </w:rPr>
              <w:t>6</w:t>
            </w:r>
          </w:p>
        </w:tc>
        <w:tc>
          <w:tcPr>
            <w:tcW w:type="dxa" w:w="794"/>
            <w:shd w:val="clear" w:color="auto" w:fill="faf7f1"/>
          </w:tcPr>
          <w:p>
            <w:pPr>
              <w:jc w:val="center"/>
            </w:pPr>
            <w:r>
              <w:rPr>
                <w:rFonts w:ascii="Calibri" w:hAnsi="Calibri"/>
                <w:color w:val="141A21"/>
                <w:sz w:val="26"/>
              </w:rPr>
              <w:t>7</w:t>
            </w:r>
          </w:p>
        </w:tc>
        <w:tc>
          <w:tcPr>
            <w:tcW w:type="dxa" w:w="794"/>
            <w:shd w:val="clear" w:color="auto" w:fill="faf7f1"/>
          </w:tcPr>
          <w:p>
            <w:pPr>
              <w:jc w:val="center"/>
            </w:pPr>
            <w:r>
              <w:rPr>
                <w:rFonts w:ascii="Calibri" w:hAnsi="Calibri"/>
                <w:color w:val="141A21"/>
                <w:sz w:val="26"/>
              </w:rPr>
              <w:t>12</w:t>
            </w:r>
          </w:p>
        </w:tc>
      </w:tr>
      <w:tr>
        <w:tc>
          <w:tcPr>
            <w:tcW w:type="dxa" w:w="794"/>
            <w:shd w:val="clear" w:color="auto" w:fill="faf7f1"/>
          </w:tcPr>
          <w:p>
            <w:pPr>
              <w:jc w:val="center"/>
            </w:pPr>
            <w:r>
              <w:rPr>
                <w:rFonts w:ascii="Calibri" w:hAnsi="Calibri"/>
                <w:color w:val="141A21"/>
                <w:sz w:val="26"/>
              </w:rPr>
              <w:t>4</w:t>
            </w:r>
          </w:p>
        </w:tc>
        <w:tc>
          <w:tcPr>
            <w:tcW w:type="dxa" w:w="794"/>
            <w:shd w:val="clear" w:color="auto" w:fill="faf7f1"/>
          </w:tcPr>
          <w:p>
            <w:pPr>
              <w:jc w:val="center"/>
            </w:pPr>
            <w:r>
              <w:rPr>
                <w:rFonts w:ascii="Calibri" w:hAnsi="Calibri"/>
                <w:color w:val="141A21"/>
                <w:sz w:val="26"/>
              </w:rPr>
              <w:t>15</w:t>
            </w:r>
          </w:p>
        </w:tc>
        <w:tc>
          <w:tcPr>
            <w:tcW w:type="dxa" w:w="794"/>
            <w:shd w:val="clear" w:color="auto" w:fill="faf7f1"/>
          </w:tcPr>
          <w:p>
            <w:pPr>
              <w:jc w:val="center"/>
            </w:pPr>
            <w:r>
              <w:rPr>
                <w:rFonts w:ascii="Calibri" w:hAnsi="Calibri"/>
                <w:color w:val="141A21"/>
                <w:sz w:val="26"/>
              </w:rPr>
              <w:t>14</w:t>
            </w:r>
          </w:p>
        </w:tc>
        <w:tc>
          <w:tcPr>
            <w:tcW w:type="dxa" w:w="794"/>
            <w:shd w:val="clear" w:color="auto" w:fill="faf7f1"/>
          </w:tcPr>
          <w:p>
            <w:pPr>
              <w:jc w:val="center"/>
            </w:pPr>
            <w:r>
              <w:rPr>
                <w:rFonts w:ascii="Calibri" w:hAnsi="Calibri"/>
                <w:color w:val="141A21"/>
                <w:sz w:val="26"/>
              </w:rPr>
              <w:t>1</w:t>
            </w:r>
          </w:p>
        </w:tc>
      </w:tr>
    </w:tbl>
    <w:p>
      <w:pPr>
        <w:spacing w:before="120" w:after="360" w:line="276" w:lineRule="auto"/>
        <w:jc w:val="center"/>
      </w:pPr>
      <w:r>
        <w:rPr>
          <w:rFonts w:ascii="Calibri" w:hAnsi="Calibri"/>
          <w:b w:val="0"/>
          <w:i/>
          <w:color w:val="5A5750"/>
          <w:sz w:val="18"/>
        </w:rPr>
        <w:t>Carré d'ordre 4 publié par Albrecht Dürer 16 3 2 13 5 10 11 8 9 6 7 12 4 15 14 1</w:t>
      </w:r>
    </w:p>
    <w:p>
      <w:pPr>
        <w:spacing w:before="0" w:after="180" w:line="264" w:lineRule="auto"/>
        <w:ind w:firstLine="340"/>
        <w:jc w:val="both"/>
      </w:pPr>
      <w:r>
        <w:rPr>
          <w:rFonts w:ascii="Cambria" w:hAnsi="Cambria"/>
          <w:b w:val="0"/>
          <w:i w:val="0"/>
          <w:color w:val="141A21"/>
          <w:sz w:val="22"/>
        </w:rPr>
        <w:t>Ce carré magique était connu du peintre allemand Albrecht Dürer, qui l'a inclus dans sa gravure « Melencolia ». Il est combiné de telle sorte que pris horizontalement, verticalement ou en diagonale, la somme des nombres considérés est 34, ainsi d'ailleurs que la somme des quatre nombres figurant dans les quatre cases centrales ou encore dans les quatre cases d'angle. Il existe un très grand nombre de possibilités de trouver, dans le carré de Dürer, le nombre 34. Ainsi prendre les quatre coins, essayer de nouveau en prenant chaque case suivant directement un coin dans le sens des aiguilles d'une montre. Les trouver toutes prend un temps certain. Dürer réussit également à faire figurer dans les deux cases centrales de la rangée du bas la date (1514) de son œuvre.</w:t>
      </w:r>
    </w:p>
    <w:tbl>
      <w:tblPr>
        <w:tblStyle w:val="TableGrid"/>
        <w:tblW w:type="auto" w:w="0"/>
        <w:jc w:val="center"/>
        <w:tblLook w:firstColumn="1" w:firstRow="1" w:lastColumn="0" w:lastRow="0" w:noHBand="0" w:noVBand="1" w:val="04A0"/>
      </w:tblPr>
      <w:tblGrid>
        <w:gridCol w:w="1349"/>
        <w:gridCol w:w="1349"/>
        <w:gridCol w:w="1349"/>
        <w:gridCol w:w="1349"/>
        <w:gridCol w:w="1349"/>
      </w:tblGrid>
      <w:tr>
        <w:tc>
          <w:tcPr>
            <w:tcW w:type="dxa" w:w="794"/>
            <w:shd w:val="clear" w:color="auto" w:fill="faf7f1"/>
          </w:tcPr>
          <w:p>
            <w:pPr>
              <w:jc w:val="center"/>
            </w:pPr>
            <w:r>
              <w:rPr>
                <w:rFonts w:ascii="Calibri" w:hAnsi="Calibri"/>
                <w:color w:val="141A21"/>
                <w:sz w:val="26"/>
              </w:rPr>
              <w:t>1</w:t>
            </w:r>
          </w:p>
        </w:tc>
        <w:tc>
          <w:tcPr>
            <w:tcW w:type="dxa" w:w="794"/>
            <w:shd w:val="clear" w:color="auto" w:fill="faf7f1"/>
          </w:tcPr>
          <w:p>
            <w:pPr>
              <w:jc w:val="center"/>
            </w:pPr>
            <w:r>
              <w:rPr>
                <w:rFonts w:ascii="Calibri" w:hAnsi="Calibri"/>
                <w:color w:val="141A21"/>
                <w:sz w:val="26"/>
              </w:rPr>
              <w:t>2</w:t>
            </w:r>
          </w:p>
        </w:tc>
        <w:tc>
          <w:tcPr>
            <w:tcW w:type="dxa" w:w="794"/>
            <w:shd w:val="clear" w:color="auto" w:fill="faf7f1"/>
          </w:tcPr>
          <w:p>
            <w:pPr>
              <w:jc w:val="center"/>
            </w:pPr>
            <w:r>
              <w:rPr>
                <w:rFonts w:ascii="Calibri" w:hAnsi="Calibri"/>
                <w:color w:val="141A21"/>
                <w:sz w:val="26"/>
              </w:rPr>
              <w:t>3</w:t>
            </w:r>
          </w:p>
        </w:tc>
        <w:tc>
          <w:tcPr>
            <w:tcW w:type="dxa" w:w="794"/>
            <w:shd w:val="clear" w:color="auto" w:fill="faf7f1"/>
          </w:tcPr>
          <w:p>
            <w:pPr>
              <w:jc w:val="center"/>
            </w:pPr>
            <w:r>
              <w:rPr>
                <w:rFonts w:ascii="Calibri" w:hAnsi="Calibri"/>
                <w:color w:val="141A21"/>
                <w:sz w:val="26"/>
              </w:rPr>
              <w:t>4</w:t>
            </w:r>
          </w:p>
        </w:tc>
        <w:tc>
          <w:tcPr>
            <w:tcW w:type="dxa" w:w="794"/>
            <w:shd w:val="clear" w:color="auto" w:fill="faf7f1"/>
          </w:tcPr>
          <w:p>
            <w:pPr>
              <w:jc w:val="center"/>
            </w:pPr>
            <w:r>
              <w:rPr>
                <w:rFonts w:ascii="Calibri" w:hAnsi="Calibri"/>
                <w:color w:val="141A21"/>
                <w:sz w:val="26"/>
              </w:rPr>
              <w:t>5</w:t>
            </w:r>
          </w:p>
        </w:tc>
      </w:tr>
      <w:tr>
        <w:tc>
          <w:tcPr>
            <w:tcW w:type="dxa" w:w="794"/>
            <w:shd w:val="clear" w:color="auto" w:fill="faf7f1"/>
          </w:tcPr>
          <w:p>
            <w:pPr>
              <w:jc w:val="center"/>
            </w:pPr>
            <w:r>
              <w:rPr>
                <w:rFonts w:ascii="Calibri" w:hAnsi="Calibri"/>
                <w:color w:val="141A21"/>
                <w:sz w:val="26"/>
              </w:rPr>
              <w:t>6</w:t>
            </w:r>
          </w:p>
        </w:tc>
        <w:tc>
          <w:tcPr>
            <w:tcW w:type="dxa" w:w="794"/>
            <w:shd w:val="clear" w:color="auto" w:fill="faf7f1"/>
          </w:tcPr>
          <w:p>
            <w:pPr>
              <w:jc w:val="center"/>
            </w:pPr>
            <w:r>
              <w:rPr>
                <w:rFonts w:ascii="Calibri" w:hAnsi="Calibri"/>
                <w:color w:val="141A21"/>
                <w:sz w:val="26"/>
              </w:rPr>
              <w:t>7</w:t>
            </w:r>
          </w:p>
        </w:tc>
        <w:tc>
          <w:tcPr>
            <w:tcW w:type="dxa" w:w="794"/>
            <w:shd w:val="clear" w:color="auto" w:fill="faf7f1"/>
          </w:tcPr>
          <w:p>
            <w:pPr>
              <w:jc w:val="center"/>
            </w:pPr>
            <w:r>
              <w:rPr>
                <w:rFonts w:ascii="Calibri" w:hAnsi="Calibri"/>
                <w:color w:val="141A21"/>
                <w:sz w:val="26"/>
              </w:rPr>
              <w:t>8</w:t>
            </w:r>
          </w:p>
        </w:tc>
        <w:tc>
          <w:tcPr>
            <w:tcW w:type="dxa" w:w="794"/>
            <w:shd w:val="clear" w:color="auto" w:fill="faf7f1"/>
          </w:tcPr>
          <w:p>
            <w:pPr>
              <w:jc w:val="center"/>
            </w:pPr>
            <w:r>
              <w:rPr>
                <w:rFonts w:ascii="Calibri" w:hAnsi="Calibri"/>
                <w:color w:val="141A21"/>
                <w:sz w:val="26"/>
              </w:rPr>
              <w:t>9</w:t>
            </w:r>
          </w:p>
        </w:tc>
        <w:tc>
          <w:tcPr>
            <w:tcW w:type="dxa" w:w="794"/>
            <w:shd w:val="clear" w:color="auto" w:fill="faf7f1"/>
          </w:tcPr>
          <w:p>
            <w:pPr>
              <w:jc w:val="center"/>
            </w:pPr>
            <w:r>
              <w:rPr>
                <w:rFonts w:ascii="Calibri" w:hAnsi="Calibri"/>
                <w:color w:val="141A21"/>
                <w:sz w:val="26"/>
              </w:rPr>
              <w:t>10</w:t>
            </w:r>
          </w:p>
        </w:tc>
      </w:tr>
      <w:tr>
        <w:tc>
          <w:tcPr>
            <w:tcW w:type="dxa" w:w="794"/>
            <w:shd w:val="clear" w:color="auto" w:fill="faf7f1"/>
          </w:tcPr>
          <w:p>
            <w:pPr>
              <w:jc w:val="center"/>
            </w:pPr>
            <w:r>
              <w:rPr>
                <w:rFonts w:ascii="Calibri" w:hAnsi="Calibri"/>
                <w:color w:val="141A21"/>
                <w:sz w:val="26"/>
              </w:rPr>
              <w:t>11</w:t>
            </w:r>
          </w:p>
        </w:tc>
        <w:tc>
          <w:tcPr>
            <w:tcW w:type="dxa" w:w="794"/>
            <w:shd w:val="clear" w:color="auto" w:fill="faf7f1"/>
          </w:tcPr>
          <w:p>
            <w:pPr>
              <w:jc w:val="center"/>
            </w:pPr>
            <w:r>
              <w:rPr>
                <w:rFonts w:ascii="Calibri" w:hAnsi="Calibri"/>
                <w:color w:val="141A21"/>
                <w:sz w:val="26"/>
              </w:rPr>
              <w:t>12</w:t>
            </w:r>
          </w:p>
        </w:tc>
        <w:tc>
          <w:tcPr>
            <w:tcW w:type="dxa" w:w="794"/>
            <w:shd w:val="clear" w:color="auto" w:fill="faf7f1"/>
          </w:tcPr>
          <w:p>
            <w:pPr>
              <w:jc w:val="center"/>
            </w:pPr>
            <w:r>
              <w:rPr>
                <w:rFonts w:ascii="Calibri" w:hAnsi="Calibri"/>
                <w:color w:val="141A21"/>
                <w:sz w:val="26"/>
              </w:rPr>
              <w:t>13</w:t>
            </w:r>
          </w:p>
        </w:tc>
        <w:tc>
          <w:tcPr>
            <w:tcW w:type="dxa" w:w="794"/>
            <w:shd w:val="clear" w:color="auto" w:fill="faf7f1"/>
          </w:tcPr>
          <w:p>
            <w:pPr>
              <w:jc w:val="center"/>
            </w:pPr>
            <w:r>
              <w:rPr>
                <w:rFonts w:ascii="Calibri" w:hAnsi="Calibri"/>
                <w:color w:val="141A21"/>
                <w:sz w:val="26"/>
              </w:rPr>
              <w:t>14</w:t>
            </w:r>
          </w:p>
        </w:tc>
        <w:tc>
          <w:tcPr>
            <w:tcW w:type="dxa" w:w="794"/>
            <w:shd w:val="clear" w:color="auto" w:fill="faf7f1"/>
          </w:tcPr>
          <w:p>
            <w:pPr>
              <w:jc w:val="center"/>
            </w:pPr>
            <w:r>
              <w:rPr>
                <w:rFonts w:ascii="Calibri" w:hAnsi="Calibri"/>
                <w:color w:val="141A21"/>
                <w:sz w:val="26"/>
              </w:rPr>
              <w:t>15</w:t>
            </w:r>
          </w:p>
        </w:tc>
      </w:tr>
      <w:tr>
        <w:tc>
          <w:tcPr>
            <w:tcW w:type="dxa" w:w="794"/>
            <w:shd w:val="clear" w:color="auto" w:fill="faf7f1"/>
          </w:tcPr>
          <w:p>
            <w:pPr>
              <w:jc w:val="center"/>
            </w:pPr>
            <w:r>
              <w:rPr>
                <w:rFonts w:ascii="Calibri" w:hAnsi="Calibri"/>
                <w:color w:val="141A21"/>
                <w:sz w:val="26"/>
              </w:rPr>
              <w:t>16</w:t>
            </w:r>
          </w:p>
        </w:tc>
        <w:tc>
          <w:tcPr>
            <w:tcW w:type="dxa" w:w="794"/>
            <w:shd w:val="clear" w:color="auto" w:fill="faf7f1"/>
          </w:tcPr>
          <w:p>
            <w:pPr>
              <w:jc w:val="center"/>
            </w:pPr>
            <w:r>
              <w:rPr>
                <w:rFonts w:ascii="Calibri" w:hAnsi="Calibri"/>
                <w:color w:val="141A21"/>
                <w:sz w:val="26"/>
              </w:rPr>
              <w:t>17</w:t>
            </w:r>
          </w:p>
        </w:tc>
        <w:tc>
          <w:tcPr>
            <w:tcW w:type="dxa" w:w="794"/>
            <w:shd w:val="clear" w:color="auto" w:fill="faf7f1"/>
          </w:tcPr>
          <w:p>
            <w:pPr>
              <w:jc w:val="center"/>
            </w:pPr>
            <w:r>
              <w:rPr>
                <w:rFonts w:ascii="Calibri" w:hAnsi="Calibri"/>
                <w:color w:val="141A21"/>
                <w:sz w:val="26"/>
              </w:rPr>
              <w:t>18</w:t>
            </w:r>
          </w:p>
        </w:tc>
        <w:tc>
          <w:tcPr>
            <w:tcW w:type="dxa" w:w="794"/>
            <w:shd w:val="clear" w:color="auto" w:fill="faf7f1"/>
          </w:tcPr>
          <w:p>
            <w:pPr>
              <w:jc w:val="center"/>
            </w:pPr>
            <w:r>
              <w:rPr>
                <w:rFonts w:ascii="Calibri" w:hAnsi="Calibri"/>
                <w:color w:val="141A21"/>
                <w:sz w:val="26"/>
              </w:rPr>
              <w:t>19</w:t>
            </w:r>
          </w:p>
        </w:tc>
        <w:tc>
          <w:tcPr>
            <w:tcW w:type="dxa" w:w="794"/>
            <w:shd w:val="clear" w:color="auto" w:fill="faf7f1"/>
          </w:tcPr>
          <w:p>
            <w:pPr>
              <w:jc w:val="center"/>
            </w:pPr>
            <w:r>
              <w:rPr>
                <w:rFonts w:ascii="Calibri" w:hAnsi="Calibri"/>
                <w:color w:val="141A21"/>
                <w:sz w:val="26"/>
              </w:rPr>
              <w:t>20</w:t>
            </w:r>
          </w:p>
        </w:tc>
      </w:tr>
      <w:tr>
        <w:tc>
          <w:tcPr>
            <w:tcW w:type="dxa" w:w="794"/>
            <w:shd w:val="clear" w:color="auto" w:fill="faf7f1"/>
          </w:tcPr>
          <w:p>
            <w:pPr>
              <w:jc w:val="center"/>
            </w:pPr>
            <w:r>
              <w:rPr>
                <w:rFonts w:ascii="Calibri" w:hAnsi="Calibri"/>
                <w:color w:val="141A21"/>
                <w:sz w:val="26"/>
              </w:rPr>
              <w:t>21</w:t>
            </w:r>
          </w:p>
        </w:tc>
        <w:tc>
          <w:tcPr>
            <w:tcW w:type="dxa" w:w="794"/>
            <w:shd w:val="clear" w:color="auto" w:fill="faf7f1"/>
          </w:tcPr>
          <w:p>
            <w:pPr>
              <w:jc w:val="center"/>
            </w:pPr>
            <w:r>
              <w:rPr>
                <w:rFonts w:ascii="Calibri" w:hAnsi="Calibri"/>
                <w:color w:val="141A21"/>
                <w:sz w:val="26"/>
              </w:rPr>
              <w:t>22</w:t>
            </w:r>
          </w:p>
        </w:tc>
        <w:tc>
          <w:tcPr>
            <w:tcW w:type="dxa" w:w="794"/>
            <w:shd w:val="clear" w:color="auto" w:fill="faf7f1"/>
          </w:tcPr>
          <w:p>
            <w:pPr>
              <w:jc w:val="center"/>
            </w:pPr>
            <w:r>
              <w:rPr>
                <w:rFonts w:ascii="Calibri" w:hAnsi="Calibri"/>
                <w:color w:val="141A21"/>
                <w:sz w:val="26"/>
              </w:rPr>
              <w:t>23</w:t>
            </w:r>
          </w:p>
        </w:tc>
        <w:tc>
          <w:tcPr>
            <w:tcW w:type="dxa" w:w="794"/>
            <w:shd w:val="clear" w:color="auto" w:fill="faf7f1"/>
          </w:tcPr>
          <w:p>
            <w:pPr>
              <w:jc w:val="center"/>
            </w:pPr>
            <w:r>
              <w:rPr>
                <w:rFonts w:ascii="Calibri" w:hAnsi="Calibri"/>
                <w:color w:val="141A21"/>
                <w:sz w:val="26"/>
              </w:rPr>
              <w:t>24</w:t>
            </w:r>
          </w:p>
        </w:tc>
        <w:tc>
          <w:tcPr>
            <w:tcW w:type="dxa" w:w="794"/>
            <w:shd w:val="clear" w:color="auto" w:fill="faf7f1"/>
          </w:tcPr>
          <w:p>
            <w:pPr>
              <w:jc w:val="center"/>
            </w:pPr>
            <w:r>
              <w:rPr>
                <w:rFonts w:ascii="Calibri" w:hAnsi="Calibri"/>
                <w:color w:val="141A21"/>
                <w:sz w:val="26"/>
              </w:rPr>
              <w:t>25</w:t>
            </w:r>
          </w:p>
        </w:tc>
      </w:tr>
    </w:tbl>
    <w:p>
      <w:pPr>
        <w:spacing w:before="120" w:after="360" w:line="276" w:lineRule="auto"/>
        <w:jc w:val="center"/>
      </w:pPr>
      <w:r>
        <w:rPr>
          <w:rFonts w:ascii="Calibri" w:hAnsi="Calibri"/>
          <w:b w:val="0"/>
          <w:i/>
          <w:color w:val="5A5750"/>
          <w:sz w:val="18"/>
        </w:rPr>
        <w:t>Un carré d'ordre 5 numéroté selon la formule 5 × p + e + 1 (plans d'expériences).</w:t>
      </w:r>
    </w:p>
    <w:p>
      <w:pPr>
        <w:spacing w:before="0" w:after="180" w:line="264" w:lineRule="auto"/>
        <w:ind w:firstLine="340"/>
        <w:jc w:val="both"/>
      </w:pPr>
      <w:r>
        <w:rPr>
          <w:rFonts w:ascii="Cambria" w:hAnsi="Cambria"/>
          <w:b w:val="0"/>
          <w:i w:val="0"/>
          <w:color w:val="141A21"/>
          <w:sz w:val="22"/>
        </w:rPr>
        <w:t>Les carrés magiques trouvent des applications dans les « plans d'expériences ». Il s'agit d'effectuer, par exemple, des expériences biologiques sur cinq variétés de plantes soumises à l'application de cinq engrais différents. La croissance des plantes est également influencée par le sol, aux caractéristiques variables, dans laquelle elles poussent. Pour minimiser l'influence du sol, il faut faire intervenir au maximum le hasard. Un carré magique d'ordre 5 facilite de beaucoup cette exigence31. Chaque plante reçoit un identifiant numérique entre 0 et 4 (p), de même pour chaque engrais (e). Chaque paire (p, e) est assignée à une parcelle du terrain, préalablement divisé en 5 × 5 = 25 parcelles, selon cette formule : 5 × p + e + 1 (par exemple, pour la plante no 3 et l'engrais no 2, nous avons 5 × 3 + 2 + 1 = 18). Cette technique peut être appliquée, par exemple, à la mise au point d'une famille de nouveaux vaccins.</w:t>
      </w:r>
    </w:p>
    <w:p>
      <w:pPr>
        <w:pStyle w:val="Heading3"/>
        <w:spacing w:before="400" w:after="100" w:line="276" w:lineRule="auto"/>
      </w:pPr>
      <w:r>
        <w:rPr>
          <w:rFonts w:ascii="Calibri" w:hAnsi="Calibri"/>
          <w:b/>
          <w:i w:val="0"/>
          <w:color w:val="141A21"/>
          <w:sz w:val="27"/>
        </w:rPr>
        <w:t>Du carré magique au Triangle Magique</w:t>
      </w:r>
    </w:p>
    <w:p>
      <w:pPr>
        <w:spacing w:before="0" w:after="180" w:line="264" w:lineRule="auto"/>
        <w:jc w:val="both"/>
      </w:pPr>
      <w:r>
        <w:rPr>
          <w:rFonts w:ascii="Cambria" w:hAnsi="Cambria"/>
          <w:b w:val="0"/>
          <w:i w:val="0"/>
          <w:color w:val="141A21"/>
          <w:sz w:val="22"/>
        </w:rPr>
        <w:t>Pour ma part j’ai adapté ce principe au fait que chaque société est en interaction avec les autres structures du groupe. Le Holding, véritable poste de vigie concentre l’ensemble des informations nécessaires a la bonne marche de toutes les sociétés.</w:t>
      </w:r>
    </w:p>
    <w:p>
      <w:pPr>
        <w:spacing w:before="0" w:after="180" w:line="264" w:lineRule="auto"/>
        <w:ind w:firstLine="340"/>
        <w:jc w:val="both"/>
      </w:pPr>
      <w:r>
        <w:rPr>
          <w:rFonts w:ascii="Cambria" w:hAnsi="Cambria"/>
          <w:b w:val="0"/>
          <w:i w:val="0"/>
          <w:color w:val="141A21"/>
          <w:sz w:val="22"/>
        </w:rPr>
        <w:t>Tout d’abord il fallait retenir « une fiscalité » : celle des particulier ou celle des sociétés ?</w:t>
      </w:r>
    </w:p>
    <w:p>
      <w:pPr>
        <w:spacing w:before="0" w:after="180" w:line="264" w:lineRule="auto"/>
        <w:ind w:firstLine="340"/>
        <w:jc w:val="both"/>
      </w:pPr>
      <w:r>
        <w:rPr>
          <w:rFonts w:ascii="Cambria" w:hAnsi="Cambria"/>
          <w:b w:val="0"/>
          <w:i w:val="0"/>
          <w:color w:val="141A21"/>
          <w:sz w:val="22"/>
        </w:rPr>
        <w:t>J’ai toujours pensé que chaque personne vivant dans un organisme devait participer au fonctionnement et au développement de celui-ci en participant financièrement à son fonctionnement donc payer des impôts. Néanmoins j’ai aussi pensé que celui qui travaille beaucoup par passion (les entrepreneurs ne sont pas mazots) et qui généraient plus de revenus que la moyenne des gens ne devait pas plus être imposée voir ponctionnée. Donc j’étais contre le modèle fiscal de l’impôt sur le revenu qui fait que plus tu gagnes et plus tu payes mais que la majorité de la population active ne paye pas d’import sur ses revenus. Pour information, mon raisonnement est identique concernant certaines niches fiscales qui, souvent par lobbysme, donne des avantages fiscaux irraisonnables. La conclusion de mon étude est que l’impôt société me paraissait plus adapté à ma philosophie, si mon activité génère de la valeur, ma société paye des impôts, si elle dégage des déficits (et cela arrive plus souvent qu’on ne le croit) elle ne paye rien ; cette logique peut sembler simplette mais parfois certains entrepreneurs soumis à l’impôt sur le revenus sont imposés alors que leur activité ne génère pas de bénéfice, mais nous verrons cela au fur et à mesure de cet ouvrage. J’ai donc organisé MON ENTREPRISE autour de l’impôt société. Cet élément et très important car je décrierai plus tard l’organisation de mes sociétés et mon raisonnement est fondé sur cette étude mais dans ma vie professionnelle j’ai souvent conseillé des montages juridiques et fiscaux différents du mien, le plus importants c’est que l’entrepreneur s’épanouisse dans son activité et sa structure juridique et fiscale n’est qu’une enveloppe juridique, mais nous verrons que les choix initiaux sont importants.</w:t>
      </w:r>
    </w:p>
    <w:p>
      <w:pPr>
        <w:spacing w:before="0" w:after="180" w:line="264" w:lineRule="auto"/>
        <w:ind w:firstLine="340"/>
        <w:jc w:val="both"/>
      </w:pPr>
      <w:r>
        <w:rPr>
          <w:rFonts w:ascii="Cambria" w:hAnsi="Cambria"/>
          <w:b w:val="0"/>
          <w:i w:val="0"/>
          <w:color w:val="141A21"/>
          <w:sz w:val="22"/>
        </w:rPr>
        <w:t>Nous sommes donc en 1992 et on me propose de devenir associé d’un cabinet d’expertise comptable. Que faire ? Prendre des participations, donc devenir associé, à titre personnel, donc en mon nom ou au travers d’une société ?</w:t>
      </w:r>
    </w:p>
    <w:p>
      <w:pPr>
        <w:spacing w:before="0" w:after="180" w:line="264" w:lineRule="auto"/>
        <w:ind w:firstLine="340"/>
        <w:jc w:val="both"/>
      </w:pPr>
      <w:r>
        <w:rPr>
          <w:rFonts w:ascii="Cambria" w:hAnsi="Cambria"/>
          <w:b w:val="0"/>
          <w:i w:val="0"/>
          <w:color w:val="141A21"/>
          <w:sz w:val="22"/>
        </w:rPr>
        <w:t>En cette année, les médias parlaient d’un homme très ambitieux et qui « visiblement » réussissait tout ce qu’il entreprenait, c’était Bernard ARNAUT. J’ai donc étudié (je lis beaucoup de livres mais pas des romans) son organisation entrepreneuriale. Il avait créé une super société qui détenait des participations dans d’autres sociétés et il faisait vivre cet ensemble de façon efficace. Fasciné par ce développement pyramidal, j’ai décidé de créer mon SUPER HOLDING, société qui détiendrait à compter de ce jour toutes les participations que je souhaiterai prendre dans d’autres sociétés d’exploitation.</w:t>
      </w:r>
    </w:p>
    <w:p>
      <w:pPr>
        <w:spacing w:before="0" w:after="180" w:line="264" w:lineRule="auto"/>
        <w:ind w:firstLine="340"/>
        <w:jc w:val="both"/>
      </w:pPr>
      <w:r>
        <w:rPr>
          <w:rFonts w:ascii="Cambria" w:hAnsi="Cambria"/>
          <w:b w:val="0"/>
          <w:i w:val="0"/>
          <w:color w:val="141A21"/>
          <w:sz w:val="22"/>
        </w:rPr>
        <w:t>La société EVOLUTIS CONSEIL serait mon vaisseau amiral pour développer les activités dans lesquelles j’espérai de la création de richesse mais surtout dans lesquelles je savais que je prendrai du plaisir à travailler, car ce plaisir à toujours été le carburant qui fais que je me lève chaque jours à 5 heures du matin (et bien avant d’avoir lu Hal ELROD et son MIRACLE MORNING) et en me regardant dans la glace pour me raser me fait penser à tout ce qui me reste encore à faire pour développer mon activité et ne nous oublions pas , notre bien –être. Dites moi cela me rappelle un ancien président de la république.</w:t>
      </w:r>
    </w:p>
    <w:p>
      <w:pPr>
        <w:spacing w:before="0" w:after="180" w:line="264" w:lineRule="auto"/>
        <w:ind w:firstLine="340"/>
        <w:jc w:val="both"/>
      </w:pPr>
      <w:r>
        <w:rPr>
          <w:rFonts w:ascii="Cambria" w:hAnsi="Cambria"/>
          <w:b w:val="0"/>
          <w:i w:val="0"/>
          <w:color w:val="141A21"/>
          <w:sz w:val="22"/>
        </w:rPr>
        <w:t>La bonne santé physique et mentale de l’entrepreneur est fondamentale pour le bon développement de l’activité. Cet ouvrage n’étant pas axé sur le développement personnel je vous laisserai lire les nombreux ouvrages sur ce sujet. Néanmoins je ne peux oublier le nombre de chefs d’entreprises de TPE ou PME qui « disjonctent » ou se suicident parce qu’ils ne peuvent affronter le regard des autres face à un « échec » entrepreneurial. Cette situation nous avons pu tous la vivre si nous avons dans notre entourage des amis, des parents qui sont ENTREPRENEURS. J’ai évidemment beaucoup d’amis qui ont créés leur entreprises et malheureusement pour eux certains ont du lâcher prise et voir leur entreprise mise en liquidation judicaire. A partir de là on constate souvent la loi des 3D Dépôt de bilan, Dépression et Divorce. Certaines associations aident ces ENTREPRENEURS malheureux à redémarrer et à éviter le pire comme l’association « 60.000 rebonds » dirigée dans le val d’Oise par Laurent ou l’APESA (aide psychologique aux entrepreneurs en souffrance aiguë) fondé par Marc BINNIE, greffier au tribunal de Saintes en Charente-Maritime et implanter dans le Val d’Oise par l’impulsion du tribunal de commerce de Pontoise et de son président Gérard MAURY. N’oublions jamais qu’un ENTREPRENEUR reste un entre humain avec sa fragilité.</w:t>
      </w:r>
    </w:p>
    <w:p>
      <w:pPr>
        <w:spacing w:before="0" w:after="180" w:line="264" w:lineRule="auto"/>
        <w:ind w:firstLine="340"/>
        <w:jc w:val="both"/>
      </w:pPr>
      <w:r>
        <w:rPr>
          <w:rFonts w:ascii="Cambria" w:hAnsi="Cambria"/>
          <w:b w:val="0"/>
          <w:i w:val="0"/>
          <w:color w:val="141A21"/>
          <w:sz w:val="22"/>
        </w:rPr>
        <w:t>Ce parcours de l’échec mais aussi ne l’oublions pas de la réussite avant un échec est bien exposé par Hapsatou SY dans son ouvrage « partie de rien » où elle explique son ascension pour être libre, indépendante et forte et néanmoins prouvée qu’elle était capable de construire. Quand elle parle de son père « Pour faire une salade, il faut de bons ingrédients. Il m’a donné la base. J’y ai ajouté un grain de folie, de la détermination et de l’envie », « Nos parents veulent nous voir heureux et réussir, alors donnons-nous en les moyens, sans nous plaindre, en essayant », « ce que je sais aujourd’hui, c’est que j’ai la grande chance, dans mon aventure entrepreneuriale, de n’avoir rien à perdre », « C’est le discours que je tiens au jeunes qui, parfois désarmés, ont l’impression qu’ils ne pourront pas y arriver », « Alors que j’occupais un poste que j’adorais, que je gagnais plutôt bien ma vie, que mon bureau n’était qu’à cinq minutes de chez moi, j’ai pris la décision de sauter dans le vide pour monter ma boite. Ce jour-là, je me suis juré d’appliquer à moi-même la théorie de l’escalier à sens unique, selon laquelle je gravirai les marches pour ne jamais les redescendre », « Un entrepreneur ne prend jamais sa retraite à 40 ans, il la prend quand il meurt. », « C’est pourtant noble de vouloir réussir pour s’offrir ce que l’on veut par ses propres moyens…ca me plait d’arriver en bas de chez mes parents avec une belle voiture, fruit de mon travail », « Je cours dans tous les sens… je suis épuisée, j’ai parfois mal au ventre. Je tente de tout contrôler mais je ne contrôle rien… Je suis au four et au moulin et je m’embrouille un peu », « Moi qui avait développé un management de proximité, j’étais devenue inaccessible pour mes équipes, il faut être humain et empathique mais pas trop ».</w:t>
      </w:r>
    </w:p>
    <w:p>
      <w:pPr>
        <w:spacing w:before="0" w:after="180" w:line="264" w:lineRule="auto"/>
        <w:ind w:firstLine="340"/>
        <w:jc w:val="both"/>
      </w:pPr>
      <w:r>
        <w:rPr>
          <w:rFonts w:ascii="Cambria" w:hAnsi="Cambria"/>
          <w:b w:val="0"/>
          <w:i w:val="0"/>
          <w:color w:val="141A21"/>
          <w:sz w:val="22"/>
        </w:rPr>
        <w:t>.</w:t>
      </w:r>
    </w:p>
    <w:p>
      <w:pPr>
        <w:spacing w:before="0" w:after="180" w:line="264" w:lineRule="auto"/>
        <w:ind w:firstLine="340"/>
        <w:jc w:val="both"/>
      </w:pPr>
      <w:r>
        <w:rPr>
          <w:rFonts w:ascii="Cambria" w:hAnsi="Cambria"/>
          <w:b w:val="0"/>
          <w:i w:val="0"/>
          <w:color w:val="141A21"/>
          <w:sz w:val="22"/>
        </w:rPr>
        <w:t>Reprenons nos esprits et revenons à notre motivation initiale de création d’entreprises.</w:t>
      </w:r>
    </w:p>
    <w:p>
      <w:pPr>
        <w:spacing w:before="0" w:after="180" w:line="264" w:lineRule="auto"/>
        <w:ind w:firstLine="340"/>
        <w:jc w:val="both"/>
      </w:pPr>
      <w:r>
        <w:rPr>
          <w:rFonts w:ascii="Cambria" w:hAnsi="Cambria"/>
          <w:b w:val="0"/>
          <w:i w:val="0"/>
          <w:color w:val="141A21"/>
          <w:sz w:val="22"/>
        </w:rPr>
        <w:t>Le vaisseau ENTERPRISE étant créé je pouvais développer mes sociétés et créer MON GROUPE.</w:t>
      </w:r>
    </w:p>
    <w:p>
      <w:pPr>
        <w:spacing w:before="0" w:after="180" w:line="264" w:lineRule="auto"/>
        <w:ind w:firstLine="340"/>
        <w:jc w:val="both"/>
      </w:pPr>
      <w:r>
        <w:rPr>
          <w:rFonts w:ascii="Cambria" w:hAnsi="Cambria"/>
          <w:b w:val="0"/>
          <w:i w:val="0"/>
          <w:color w:val="141A21"/>
          <w:sz w:val="22"/>
        </w:rPr>
        <w:t>A ce jour, en 2017, ma société holding déteint plusieurs participations dans des sociétés qu’elle détient majoritairement puisque l’essentiel de l’activité est générée par moi-même, ou minoritairement ce qui permet de développer des activité avec d’autres personnes plus compétentes dans un domaine, ce qui permet que l’addition de toutes nos compétences développe une richesse, car ne perdons pas de vue, qu’un des objectifs de l’entrepreneur est de gagner de l’argent, voir du GROS ARGENT, comme cite souvent mon ami Cédric ANNICETTE.</w:t>
      </w:r>
    </w:p>
    <w:p>
      <w:pPr>
        <w:spacing w:before="0" w:after="180" w:line="264" w:lineRule="auto"/>
        <w:ind w:firstLine="340"/>
        <w:jc w:val="both"/>
      </w:pPr>
      <w:r>
        <w:rPr>
          <w:rFonts w:ascii="Cambria" w:hAnsi="Cambria"/>
          <w:b w:val="0"/>
          <w:i w:val="0"/>
          <w:color w:val="141A21"/>
          <w:sz w:val="22"/>
        </w:rPr>
        <w:t>Et sans le savoir initialement, j’ai créé mon TRIANGLE MAGIQUE.</w:t>
      </w:r>
    </w:p>
    <w:p>
      <w:pPr>
        <w:spacing w:before="0" w:after="180" w:line="264" w:lineRule="auto"/>
        <w:ind w:firstLine="340"/>
        <w:jc w:val="both"/>
      </w:pPr>
      <w:r>
        <w:rPr>
          <w:rFonts w:ascii="Cambria" w:hAnsi="Cambria"/>
          <w:b w:val="0"/>
          <w:i w:val="0"/>
          <w:color w:val="141A21"/>
          <w:sz w:val="22"/>
        </w:rPr>
        <w:t>Maintenant que nous nous connaissons mieux, vous comprendrez mes motivations à vous aider dans la construction de votre activité car à titre extra-professionnel je suis membre d’associations de chefs d’entreprises, de syndicat professionnel ou d’organismes judicaires mais à chaque fois c’est pour transmettre ma vision de l’entreprenariat et de ce fait aider des entrepreneur a se réaliser dans leur activité car la vie d’entrepreneurs n’est pas un long fleuve tranquille ou participer à ce que le système judicaire puisse « sortir » du monde entrepreneurial des personnes qui ne sont « pas faites pour être indépendantes » ou des escrocs qui ayant trop bien compris les failles du système utilisent notre droit pour détourner des fonds publics (URSSAF ou TVA) ou « planter » des petites entreprises en ne réglant pas leurs dettes.</w:t>
      </w:r>
    </w:p>
    <w:p>
      <w:pPr>
        <w:spacing w:before="0" w:after="180" w:line="264" w:lineRule="auto"/>
        <w:ind w:firstLine="340"/>
        <w:jc w:val="both"/>
      </w:pPr>
      <w:r>
        <w:rPr>
          <w:rFonts w:ascii="Cambria" w:hAnsi="Cambria"/>
          <w:b w:val="0"/>
          <w:i w:val="0"/>
          <w:color w:val="141A21"/>
          <w:sz w:val="22"/>
        </w:rPr>
        <w:t>Le monde de l’entreprise peut être cruel et c’est pourquoi l’entrepreneur doit se protéger en utilisant les talents de professionnels du droit et du chiffre afin de créer et de faire vivre leur entreprise afin que cette dernière leur permette de s’épanouir.</w:t>
      </w:r>
    </w:p>
    <w:p>
      <w:pPr>
        <w:spacing w:before="0" w:after="180" w:line="264" w:lineRule="auto"/>
        <w:ind w:firstLine="340"/>
        <w:jc w:val="both"/>
      </w:pPr>
      <w:r>
        <w:rPr>
          <w:rFonts w:ascii="Cambria" w:hAnsi="Cambria"/>
          <w:b w:val="0"/>
          <w:i w:val="0"/>
          <w:color w:val="141A21"/>
          <w:sz w:val="22"/>
        </w:rPr>
        <w:t>Lors de séminaire sur le développement personnel j’ai rencontré des orateurs qui avaient développé de vraies complicité avec leur conseil ; en effet si vous souhaitez que votre partenaire puise vous prodiguer les conseils les plus adaptés il convient d’être en pleine confiance avec ses partenaires et de leur exposer vos projets et objectifs et de sélectionner l’information à leur révéler qui leur sera nécessaire à une bonne réflexion personnalisée.</w:t>
      </w:r>
    </w:p>
    <w:p>
      <w:pPr>
        <w:spacing w:before="0" w:after="180" w:line="264" w:lineRule="auto"/>
        <w:ind w:firstLine="340"/>
        <w:jc w:val="both"/>
      </w:pPr>
      <w:r>
        <w:rPr>
          <w:rFonts w:ascii="Cambria" w:hAnsi="Cambria"/>
          <w:b w:val="0"/>
          <w:i w:val="0"/>
          <w:color w:val="141A21"/>
          <w:sz w:val="22"/>
        </w:rPr>
        <w:t>Je ne vais pas dans les prochaines pages vous faire un cours de droit mais essayer de vous faire prendre conscience de quelques impacts du droit qu’il soit comptable, fiscal , social ou des sociétés, car tous vos actes seront regardés vis-à-vis du droit, et pour certains ce sera un kaléidoscope .</w:t>
      </w:r>
    </w:p>
    <w:p>
      <w:pPr>
        <w:spacing w:before="0" w:after="180" w:line="264" w:lineRule="auto"/>
        <w:ind w:firstLine="340"/>
        <w:jc w:val="both"/>
      </w:pPr>
      <w:r>
        <w:rPr>
          <w:rFonts w:ascii="Cambria" w:hAnsi="Cambria"/>
          <w:b w:val="0"/>
          <w:i w:val="0"/>
          <w:color w:val="141A21"/>
          <w:sz w:val="22"/>
        </w:rPr>
        <w:t>J’espère ne pas vous gargarisez avec des termes juridiques très savants, le plus souvent utilisés que par des professionnels du chiffre et du droit, mais il faut que vous reteniez quelques mots pour bien comprendre les discussions que vous aurez prochainement avec vos conseils.</w:t>
      </w:r>
    </w:p>
    <w:p>
      <w:r>
        <w:br w:type="page"/>
      </w:r>
    </w:p>
    <w:p>
      <w:pPr>
        <w:pStyle w:val="Heading1"/>
        <w:spacing w:before="800" w:after="160" w:line="276" w:lineRule="auto"/>
      </w:pPr>
      <w:r>
        <w:rPr>
          <w:rFonts w:ascii="Calibri" w:hAnsi="Calibri"/>
          <w:b/>
          <w:i w:val="0"/>
          <w:color w:val="2F6D5F"/>
          <w:sz w:val="48"/>
        </w:rPr>
        <w:t>Partie I — Le monde de la comptabilité</w:t>
      </w:r>
    </w:p>
    <w:p>
      <w:r>
        <w:br w:type="page"/>
      </w:r>
    </w:p>
    <w:p>
      <w:pPr>
        <w:pStyle w:val="Heading2"/>
        <w:spacing w:before="240" w:after="200" w:line="276" w:lineRule="auto"/>
      </w:pPr>
      <w:r>
        <w:rPr>
          <w:rFonts w:ascii="Calibri" w:hAnsi="Calibri"/>
          <w:b/>
          <w:i w:val="0"/>
          <w:color w:val="2F6D5F"/>
          <w:sz w:val="36"/>
        </w:rPr>
        <w:t>Chapitre 1 — Les principes généraux de la comptabilité</w:t>
      </w:r>
    </w:p>
    <w:p>
      <w:pPr>
        <w:pStyle w:val="Heading3"/>
        <w:spacing w:before="400" w:after="100" w:line="276" w:lineRule="auto"/>
      </w:pPr>
      <w:r>
        <w:rPr>
          <w:rFonts w:ascii="Calibri" w:hAnsi="Calibri"/>
          <w:b/>
          <w:i w:val="0"/>
          <w:color w:val="141A21"/>
          <w:sz w:val="27"/>
        </w:rPr>
        <w:t>L'importance et le cadre légal de la comptabilité</w:t>
      </w:r>
    </w:p>
    <w:p>
      <w:pPr>
        <w:spacing w:before="0" w:after="180" w:line="264" w:lineRule="auto"/>
        <w:jc w:val="both"/>
      </w:pPr>
      <w:r>
        <w:rPr>
          <w:rFonts w:ascii="Cambria" w:hAnsi="Cambria"/>
          <w:b w:val="0"/>
          <w:i w:val="0"/>
          <w:color w:val="141A21"/>
          <w:sz w:val="22"/>
        </w:rPr>
        <w:t>A quoi ça sert : L’importance de la comptabilité</w:t>
      </w:r>
    </w:p>
    <w:p>
      <w:pPr>
        <w:spacing w:before="0" w:after="180" w:line="264" w:lineRule="auto"/>
        <w:ind w:firstLine="340"/>
        <w:jc w:val="both"/>
      </w:pPr>
      <w:r>
        <w:rPr>
          <w:rFonts w:ascii="Cambria" w:hAnsi="Cambria"/>
          <w:b w:val="0"/>
          <w:i w:val="0"/>
          <w:color w:val="141A21"/>
          <w:sz w:val="22"/>
        </w:rPr>
        <w:t>La comptabilité c’est quoi ?</w:t>
      </w:r>
    </w:p>
    <w:p>
      <w:pPr>
        <w:spacing w:before="0" w:after="180" w:line="264" w:lineRule="auto"/>
        <w:ind w:firstLine="340"/>
        <w:jc w:val="both"/>
      </w:pPr>
      <w:r>
        <w:rPr>
          <w:rFonts w:ascii="Cambria" w:hAnsi="Cambria"/>
          <w:b w:val="0"/>
          <w:i w:val="0"/>
          <w:color w:val="141A21"/>
          <w:sz w:val="22"/>
        </w:rPr>
        <w:t>Tout d’abord pour moi « la compta » c’est une matière première ! C’est avec elle que l’ENTREPRENEUR va construire, va bâtir son projet. Pour réaliser cette construction il faut comprendre « la compta », je ne dit pas que chaque ENTREPRENEUR doit savoir le droit comptable et fiscal par cœur pour s’en sortir dans l’imbroglio législatif de notre pays, mais il doit avoir des bases de connaissance pour « comprendre » ce langage et discuter avec ses conseils. Tout au long de ma vie professionnelle j’ai toujours essayé de « parler vrai » et non dans un langage professionnel afin que mes clients ENTREPRENEURS puissent me comprendre et la satisfaction était au summum qu’on j’entends à la fin d’une consultation : « merci Monsieur LEMAIRE c’est plus clair j’ai tout compris » ; même si certains clients me disent « bon maintenant je vais prendre un Doliprane ». Donc dans ce paragraphe je vais vous donner quelques clés simples pour apprivoiser VOTRE comptabilité afin qu’elle soit pour vous un vrai outil de gestion.</w:t>
      </w:r>
    </w:p>
    <w:p>
      <w:pPr>
        <w:spacing w:before="0" w:after="180" w:line="264" w:lineRule="auto"/>
        <w:ind w:firstLine="340"/>
        <w:jc w:val="both"/>
      </w:pPr>
      <w:r>
        <w:rPr>
          <w:rFonts w:ascii="Cambria" w:hAnsi="Cambria"/>
          <w:b w:val="0"/>
          <w:i w:val="0"/>
          <w:color w:val="141A21"/>
          <w:sz w:val="22"/>
        </w:rPr>
        <w:t>D’abord « la compta » est un ensemble de règles :</w:t>
      </w:r>
    </w:p>
    <w:p>
      <w:pPr>
        <w:spacing w:before="0" w:after="180" w:line="264" w:lineRule="auto"/>
        <w:ind w:firstLine="340"/>
        <w:jc w:val="both"/>
      </w:pPr>
      <w:r>
        <w:rPr>
          <w:rFonts w:ascii="Cambria" w:hAnsi="Cambria"/>
          <w:b w:val="0"/>
          <w:i w:val="0"/>
          <w:color w:val="141A21"/>
          <w:sz w:val="22"/>
        </w:rPr>
        <w:t>Le code de commerce, par son article L. 123-12 dispose que :</w:t>
      </w:r>
    </w:p>
    <w:p>
      <w:pPr>
        <w:spacing w:before="200" w:after="240" w:line="288" w:lineRule="auto"/>
        <w:ind w:left="397"/>
        <w:jc w:val="both"/>
        <w:pBdr>
          <w:left w:val="single" w:sz="18" w:space="10" w:color="b08d3e"/>
        </w:pBdr>
      </w:pPr>
      <w:r>
        <w:rPr>
          <w:rFonts w:ascii="Cambria" w:hAnsi="Cambria"/>
          <w:b w:val="0"/>
          <w:i/>
          <w:color w:val="3C3A34"/>
          <w:sz w:val="21"/>
        </w:rPr>
        <w:t>« Toute personne physique ou orale ayant la qualité de commerçant doit procéder à l’enregistrement comptable des mouvements affectant le patrimoine de son entreprise. Ces mouvements sont enregistrés chronologiquement. Elle doit contrôler par inventaire, au moins une fois tous les douze mois, l’existence et la valeur des éléments actifs et passifs du patrimoine de l’entreprise. Elle doit établir des comptes annuels à la clôture de l’exercice au vu des enregistrements comptables et de l’inventaire. Ces comptes annuels comprennent le bilan, le compte de résultat et une annexe, qui forme un tout indissociable ». Le code de commerce, par son article L. 123-13 dispose que : « Le bilan décrit séparément les éléments actifs et passifs de l’entreprise, et fait apparaitre, de façon distincte, les capitaux propres. Le compte de résultat récapitule les produits et les charges de l’exercice, sans qu’il soit tenu compte de leur date d’encaissement ou de paiement. Il fait apparaitre, par différence après déduction des amortissements et des provisions, le bénéfice ou la perte de l’exercice. Les produits et les charges, classé par catégorie, doivent être présentés soit sous forme de tableaux, soit sous forme de liste. Le montant des engagements de l’entreprise en matière de pension, de compléments de retraite, d’indemnités et d’allocation en raison du départ à la retraite ou avantages similaires des membres ou associés de son personnel et des mandataires sociaux est indiqué dans l’annexe. Par ailleurs, les entreprises peuvent décider d’inscrire au bilan, sous forme de provision, le montant correspondant à tout ou partie de ces engagements. L’annexe complète et commente l’information donnée par le bilan et le compte de résultât ». Le code de commerce, par son article L. 123-26 dispose que : « Par dérogation aux dispositions du deuxième alinéa de l’article L. 123-13, les personnes physiques placées sur option ou de plein droit sous le régime réel simplifié d’imposition peuvent inscrire au compte de résultat, en fonction de leur date de paiement, les charges dont la périodicité n’excède pas un an, à l’exception des achats ». Le code de commerce, par son article L. 123-27 dispose que : « Par dérogation aux dispositions du troisième alinéa de l’article L. 123-18, les personnes physiques placées sur option ou de plein droit sous le régime réel simplifié d’imposition peuvent procéder à un évaluation simplifié des stocks et des productions en cours, selon une méthode fixée par uns règlement de l’Autorité des normes comptables ». Le code de commerce, par son article L. 123-28 dispose que : « Par dérogation aux dispositions des articles L. 123-12 à L. 123-23, les personnes physiques bénéficiant du régime défini à l’article 50-0 du Code général des impôts peuvent ne pas établir de comptes annuels. Elles tiennent un livre mentionnant chronologiquement le montant et l’origine des recettes qu’elles perçoivent au titre de leur activité professionnelle. Elles tiennent également, lorsque leur commerce principal est de vendre des marchandises, objets, fournitures et denrées à emporter ou à consommer sur place, ou de fournir le logement, un registre récapitulé par année, présentant le détail de leurs achats. Un décret fixe les conditions dans lesquelles ce livre et ce registre sont tenus ». On peut retenir que la comptabilité amène à réaliser l’arrêté des comptes à une date fixée. Cette date est ou imposée par des textes comme les déclarations cerfa 2072, des SCI (sociétés civiles immobilières) qui présentent les comptes arrêtés au 31 décembre de chaque année (hors cessation d’activité), où par les statuts des sociétés qui fixent la date de présentation des comptes. Nous verrons plus tard les différents éléments constituant les comptes annuels. Surtout et pour moi c’est le plus important, rappelé par l’article L. 123-23 du code de commerce : « La comptabilité régulièrement tenue peut être admise en justice pour faire preuve entre commerçants pour faits de commerce Si elle a été irrégulièrement tenue, elle ne peut être invoquée par son auteur à son profit. La communication des documents comptables ne peut être ordonnée en justice que dans les affaires de succession, communauté, partage de société et en cas de procédure de sauvegarde, de redressement ou liquidation judicaires ». La comptabilité permet à l’ENTREPRENEUR de savoir où il en est sur plusieurs domaines. Si on parle de « débit », « crédit », « méthode en partie double », « bilan », « compte de résultat », « valeur ajoutée », « capacité d’autofinancement » il ne faut surtout pas se fermer l’esprit car vous aller voir je vais vous faire aimer « la compta » car c’est logique.</w:t>
      </w:r>
    </w:p>
    <w:p>
      <w:pPr>
        <w:pStyle w:val="Heading3"/>
        <w:spacing w:before="400" w:after="100" w:line="276" w:lineRule="auto"/>
      </w:pPr>
      <w:r>
        <w:rPr>
          <w:rFonts w:ascii="Calibri" w:hAnsi="Calibri"/>
          <w:b/>
          <w:i w:val="0"/>
          <w:color w:val="141A21"/>
          <w:sz w:val="27"/>
        </w:rPr>
        <w:t>Le bilan, le résultat et la logique de la partie double</w:t>
      </w:r>
    </w:p>
    <w:p>
      <w:pPr>
        <w:spacing w:before="0" w:after="180" w:line="264" w:lineRule="auto"/>
        <w:jc w:val="both"/>
      </w:pPr>
      <w:r>
        <w:rPr>
          <w:rFonts w:ascii="Cambria" w:hAnsi="Cambria"/>
          <w:b w:val="0"/>
          <w:i w:val="0"/>
          <w:color w:val="141A21"/>
          <w:sz w:val="22"/>
        </w:rPr>
        <w:t>Le bilan :</w:t>
      </w:r>
    </w:p>
    <w:p>
      <w:pPr>
        <w:spacing w:before="0" w:after="180" w:line="264" w:lineRule="auto"/>
        <w:ind w:firstLine="340"/>
        <w:jc w:val="both"/>
      </w:pPr>
      <w:r>
        <w:rPr>
          <w:rFonts w:ascii="Cambria" w:hAnsi="Cambria"/>
          <w:b w:val="0"/>
          <w:i w:val="0"/>
          <w:color w:val="141A21"/>
          <w:sz w:val="22"/>
        </w:rPr>
        <w:t>Il est composé de 2 partie, à gauche l’actif, c’est la richesse de l’entreprise (les constructions, les machines, les stocks, les dus clients, la trésorerie, etc. ; à droite le passif, c’est les ressources qui ont permis de financer l’actif (le capital social fournis par les associés, les emprunts auprès des établissements de crédit ou des associés, les dus aux fournisseurs) mais c’est aussi des dettes auprès des organismes fiscaux (TVA et IS) et sociaux (URSSAF, Pole Emploi, caisses de retraite) et aussi le plus souvent (je vous le souhaite) le bénéfice que votre entreprise à réalisé.</w:t>
      </w:r>
    </w:p>
    <w:p>
      <w:pPr>
        <w:spacing w:before="0" w:after="180" w:line="264" w:lineRule="auto"/>
        <w:ind w:firstLine="340"/>
        <w:jc w:val="both"/>
      </w:pPr>
      <w:r>
        <w:rPr>
          <w:rFonts w:ascii="Cambria" w:hAnsi="Cambria"/>
          <w:b w:val="0"/>
          <w:i w:val="0"/>
          <w:color w:val="141A21"/>
          <w:sz w:val="22"/>
        </w:rPr>
        <w:t>Le bilan est souvent surnommé comme une photographie de l’entreprise à un instant T.</w:t>
      </w:r>
    </w:p>
    <w:p>
      <w:pPr>
        <w:spacing w:before="0" w:after="180" w:line="264" w:lineRule="auto"/>
        <w:ind w:firstLine="340"/>
        <w:jc w:val="both"/>
      </w:pPr>
      <w:r>
        <w:rPr>
          <w:rFonts w:ascii="Cambria" w:hAnsi="Cambria"/>
          <w:b w:val="0"/>
          <w:i w:val="0"/>
          <w:color w:val="141A21"/>
          <w:sz w:val="22"/>
        </w:rPr>
        <w:t>Comme je l’exposerai plus loin de cet ouvrage en parlant de l’immobilier, l’endettement est aussi un moyen de financer de l’actif (de la richesse comme des immeubles) avec l’argent des autres.</w:t>
      </w:r>
    </w:p>
    <w:p>
      <w:pPr>
        <w:spacing w:before="0" w:after="180" w:line="264" w:lineRule="auto"/>
        <w:ind w:firstLine="340"/>
        <w:jc w:val="both"/>
      </w:pPr>
      <w:r>
        <w:rPr>
          <w:rFonts w:ascii="Cambria" w:hAnsi="Cambria"/>
          <w:b w:val="0"/>
          <w:i w:val="0"/>
          <w:color w:val="141A21"/>
          <w:sz w:val="22"/>
        </w:rPr>
        <w:t>Les comptes :</w:t>
      </w:r>
    </w:p>
    <w:p>
      <w:pPr>
        <w:spacing w:before="0" w:after="180" w:line="264" w:lineRule="auto"/>
        <w:ind w:firstLine="340"/>
        <w:jc w:val="both"/>
      </w:pPr>
      <w:r>
        <w:rPr>
          <w:rFonts w:ascii="Cambria" w:hAnsi="Cambria"/>
          <w:b w:val="0"/>
          <w:i w:val="0"/>
          <w:color w:val="141A21"/>
          <w:sz w:val="22"/>
        </w:rPr>
        <w:t>Le compte, c’est une façon de présenter un élément du bilan ; en fait le bilan c’est l’ensemble des comptes présenté sous forme de balance. Oh la la je vois déjà votre tête et votre cerveau dire qu’est ce qu’il me raconte.</w:t>
      </w:r>
    </w:p>
    <w:p>
      <w:pPr>
        <w:spacing w:before="0" w:after="180" w:line="264" w:lineRule="auto"/>
        <w:ind w:firstLine="340"/>
        <w:jc w:val="both"/>
      </w:pPr>
      <w:r>
        <w:rPr>
          <w:rFonts w:ascii="Cambria" w:hAnsi="Cambria"/>
          <w:b w:val="0"/>
          <w:i w:val="0"/>
          <w:color w:val="141A21"/>
          <w:sz w:val="22"/>
        </w:rPr>
        <w:t>Aller on se reprend, un compte c’est comme un T.</w:t>
      </w:r>
    </w:p>
    <w:p>
      <w:pPr>
        <w:spacing w:before="0" w:after="180" w:line="264" w:lineRule="auto"/>
        <w:ind w:firstLine="340"/>
        <w:jc w:val="both"/>
      </w:pPr>
      <w:r>
        <w:rPr>
          <w:rFonts w:ascii="Cambria" w:hAnsi="Cambria"/>
          <w:b w:val="0"/>
          <w:i w:val="0"/>
          <w:color w:val="141A21"/>
          <w:sz w:val="22"/>
        </w:rPr>
        <w:t>Prenons par exemple l’emprunt. La banque vous a prêté 100.000€, le 1er juin pour acheter un bien immobilier. Vous devez la rembourser à hauteur d’une mensualité de 500€ (hors intérêt) à partir du 1er juillet.</w:t>
      </w:r>
    </w:p>
    <w:p>
      <w:pPr>
        <w:spacing w:before="0" w:after="180" w:line="264" w:lineRule="auto"/>
        <w:ind w:firstLine="340"/>
        <w:jc w:val="both"/>
      </w:pPr>
      <w:r>
        <w:rPr>
          <w:rFonts w:ascii="Cambria" w:hAnsi="Cambria"/>
          <w:b w:val="0"/>
          <w:i w:val="0"/>
          <w:color w:val="141A21"/>
          <w:sz w:val="22"/>
        </w:rPr>
        <w:t>Si votre exercice social se termine le 31 décembre de chaque année, vous aller avoir la présentation suivante de votre « compte emprunt » à la clôture de la première année :</w:t>
      </w:r>
    </w:p>
    <w:p>
      <w:pPr>
        <w:spacing w:before="120" w:after="120" w:line="276" w:lineRule="auto"/>
        <w:jc w:val="center"/>
      </w:pPr>
      <w:r>
        <w:rPr>
          <w:rFonts w:ascii="Cambria" w:hAnsi="Cambria"/>
          <w:b w:val="0"/>
          <w:i w:val="0"/>
          <w:color w:val="33312C"/>
          <w:sz w:val="22"/>
        </w:rPr>
        <w:t>3.000€ 100.000€</w:t>
      </w:r>
    </w:p>
    <w:p>
      <w:pPr>
        <w:spacing w:before="0" w:after="180" w:line="264" w:lineRule="auto"/>
        <w:ind w:firstLine="340"/>
        <w:jc w:val="both"/>
      </w:pPr>
      <w:r>
        <w:rPr>
          <w:rFonts w:ascii="Cambria" w:hAnsi="Cambria"/>
          <w:b w:val="0"/>
          <w:i w:val="0"/>
          <w:color w:val="141A21"/>
          <w:sz w:val="22"/>
        </w:rPr>
        <w:t>Soit un solde de votre compte de 97.000€, que vous retrouver à votre bilan au passif (nous sommes d’accord que c’est bien une dette)</w:t>
      </w:r>
    </w:p>
    <w:p>
      <w:pPr>
        <w:spacing w:before="0" w:after="180" w:line="264" w:lineRule="auto"/>
        <w:ind w:firstLine="340"/>
        <w:jc w:val="both"/>
      </w:pPr>
      <w:r>
        <w:rPr>
          <w:rFonts w:ascii="Cambria" w:hAnsi="Cambria"/>
          <w:b w:val="0"/>
          <w:i w:val="0"/>
          <w:color w:val="141A21"/>
          <w:sz w:val="22"/>
        </w:rPr>
        <w:t>La deuxième année :</w:t>
      </w:r>
    </w:p>
    <w:p>
      <w:pPr>
        <w:spacing w:before="120" w:after="120" w:line="276" w:lineRule="auto"/>
        <w:jc w:val="center"/>
      </w:pPr>
      <w:r>
        <w:rPr>
          <w:rFonts w:ascii="Cambria" w:hAnsi="Cambria"/>
          <w:b w:val="0"/>
          <w:i w:val="0"/>
          <w:color w:val="33312C"/>
          <w:sz w:val="22"/>
        </w:rPr>
        <w:t>3.000€ 100.000€</w:t>
      </w:r>
    </w:p>
    <w:p>
      <w:pPr>
        <w:spacing w:before="120" w:after="120" w:line="276" w:lineRule="auto"/>
        <w:jc w:val="center"/>
      </w:pPr>
      <w:r>
        <w:rPr>
          <w:rFonts w:ascii="Cambria" w:hAnsi="Cambria"/>
          <w:b w:val="0"/>
          <w:i w:val="0"/>
          <w:color w:val="33312C"/>
          <w:sz w:val="22"/>
        </w:rPr>
        <w:t>6.000€</w:t>
      </w:r>
    </w:p>
    <w:p>
      <w:pPr>
        <w:spacing w:before="0" w:after="180" w:line="264" w:lineRule="auto"/>
        <w:ind w:firstLine="340"/>
        <w:jc w:val="both"/>
      </w:pPr>
      <w:r>
        <w:rPr>
          <w:rFonts w:ascii="Cambria" w:hAnsi="Cambria"/>
          <w:b w:val="0"/>
          <w:i w:val="0"/>
          <w:color w:val="141A21"/>
          <w:sz w:val="22"/>
        </w:rPr>
        <w:t>Soit un solde de 91.000€. la dette diminue puisque vous remboursez</w:t>
      </w:r>
    </w:p>
    <w:p>
      <w:pPr>
        <w:spacing w:before="0" w:after="180" w:line="264" w:lineRule="auto"/>
        <w:ind w:firstLine="340"/>
        <w:jc w:val="both"/>
      </w:pPr>
      <w:r>
        <w:rPr>
          <w:rFonts w:ascii="Cambria" w:hAnsi="Cambria"/>
          <w:b w:val="0"/>
          <w:i w:val="0"/>
          <w:color w:val="141A21"/>
          <w:sz w:val="22"/>
        </w:rPr>
        <w:t>Vous allez également entendre parler de « débit » et de « crédit », tous les comptes ont ces 2 parties, le débit à gauche et le crédit à droite.</w:t>
      </w:r>
    </w:p>
    <w:p>
      <w:pPr>
        <w:spacing w:before="0" w:after="180" w:line="264" w:lineRule="auto"/>
        <w:ind w:firstLine="340"/>
        <w:jc w:val="both"/>
      </w:pPr>
      <w:r>
        <w:rPr>
          <w:rFonts w:ascii="Cambria" w:hAnsi="Cambria"/>
          <w:b w:val="0"/>
          <w:i w:val="0"/>
          <w:color w:val="141A21"/>
          <w:sz w:val="22"/>
        </w:rPr>
        <w:t>A chaque date de clôture de l’exercice social de votre entreprise, vous devez « solder » les comptes pour les inscrirent dans le bilan. Et en même temps vous devez « rouvrir » le nouvel exercice de l’année qui suit, et vous « reprenez » les soldes de la période close, car vous réutilisez bien les ressources (l’actif) et les emplois (le passif) pour continuer à faire fonctionner votre outil professionnel. La vie d’une entreprise ne s’arrête pas au 31 décembre de chaque année !!!</w:t>
      </w:r>
    </w:p>
    <w:p>
      <w:pPr>
        <w:spacing w:before="0" w:after="180" w:line="264" w:lineRule="auto"/>
        <w:ind w:firstLine="340"/>
        <w:jc w:val="both"/>
      </w:pPr>
      <w:r>
        <w:rPr>
          <w:rFonts w:ascii="Cambria" w:hAnsi="Cambria"/>
          <w:b w:val="0"/>
          <w:i w:val="0"/>
          <w:color w:val="141A21"/>
          <w:sz w:val="22"/>
        </w:rPr>
        <w:t>La logique de la partie double :</w:t>
      </w:r>
    </w:p>
    <w:p>
      <w:pPr>
        <w:spacing w:before="0" w:after="180" w:line="264" w:lineRule="auto"/>
        <w:ind w:firstLine="340"/>
        <w:jc w:val="both"/>
      </w:pPr>
      <w:r>
        <w:rPr>
          <w:rFonts w:ascii="Cambria" w:hAnsi="Cambria"/>
          <w:b w:val="0"/>
          <w:i w:val="0"/>
          <w:color w:val="141A21"/>
          <w:sz w:val="22"/>
        </w:rPr>
        <w:t>Chaque opération que vous réalisez dans vos actes d’entrepreneurs a 2 impacts dans votre comptabilité, elle influe dans 2 comptes, l’un dans sa partie gauche et l’autre dans sa partie droite.</w:t>
      </w:r>
    </w:p>
    <w:p>
      <w:pPr>
        <w:spacing w:before="0" w:after="180" w:line="264" w:lineRule="auto"/>
        <w:ind w:firstLine="340"/>
        <w:jc w:val="both"/>
      </w:pPr>
      <w:r>
        <w:rPr>
          <w:rFonts w:ascii="Cambria" w:hAnsi="Cambria"/>
          <w:b w:val="0"/>
          <w:i w:val="0"/>
          <w:color w:val="141A21"/>
          <w:sz w:val="22"/>
        </w:rPr>
        <w:t>Reprenons l’exemple ci-dessus de l’emprunt.</w:t>
      </w:r>
    </w:p>
    <w:p>
      <w:pPr>
        <w:spacing w:before="0" w:after="180" w:line="264" w:lineRule="auto"/>
        <w:ind w:firstLine="340"/>
        <w:jc w:val="both"/>
      </w:pPr>
      <w:r>
        <w:rPr>
          <w:rFonts w:ascii="Cambria" w:hAnsi="Cambria"/>
          <w:b w:val="0"/>
          <w:i w:val="0"/>
          <w:color w:val="141A21"/>
          <w:sz w:val="22"/>
        </w:rPr>
        <w:t>Lorsque vous payez votre mensualité nous avons vu que cela faisait diminuer le passif, puisqu’on avait moins de dette mais cela fait aussi diminuer l’actif puisque vous « appauvrissez » votre trésorerie et cela ce traduit dans le compte de trésorerie. Imaginez que vous ayez 1800€ sur votre compte en banque à fin juin et que le paiement comme prévu vous devez payer au 1er juillet les 500€ prévu à la banque, le compte de trésorerie se présentera comme cela</w:t>
      </w:r>
    </w:p>
    <w:p>
      <w:pPr>
        <w:spacing w:before="120" w:after="120" w:line="276" w:lineRule="auto"/>
        <w:jc w:val="center"/>
      </w:pPr>
      <w:r>
        <w:rPr>
          <w:rFonts w:ascii="Cambria" w:hAnsi="Cambria"/>
          <w:b w:val="0"/>
          <w:i w:val="0"/>
          <w:color w:val="33312C"/>
          <w:sz w:val="22"/>
        </w:rPr>
        <w:t>1.800€ 500€</w:t>
      </w:r>
    </w:p>
    <w:p>
      <w:pPr>
        <w:spacing w:before="0" w:after="180" w:line="264" w:lineRule="auto"/>
        <w:ind w:firstLine="340"/>
        <w:jc w:val="both"/>
      </w:pPr>
      <w:r>
        <w:rPr>
          <w:rFonts w:ascii="Cambria" w:hAnsi="Cambria"/>
          <w:b w:val="0"/>
          <w:i w:val="0"/>
          <w:color w:val="141A21"/>
          <w:sz w:val="22"/>
        </w:rPr>
        <w:t>C’est super simple et en plus c’est facile à vérifier qu’on ne s’est pas trompée dans la comptabilisation car la sommes des informations inscrites en partie gauche est égale à la somme des informations inscrites en partie droite ca s’équilibre, c’est tout simplement génial.</w:t>
      </w:r>
    </w:p>
    <w:p>
      <w:pPr>
        <w:spacing w:before="0" w:after="180" w:line="264" w:lineRule="auto"/>
        <w:ind w:firstLine="340"/>
        <w:jc w:val="both"/>
      </w:pPr>
      <w:r>
        <w:rPr>
          <w:rFonts w:ascii="Cambria" w:hAnsi="Cambria"/>
          <w:b w:val="0"/>
          <w:i w:val="0"/>
          <w:color w:val="141A21"/>
          <w:sz w:val="22"/>
        </w:rPr>
        <w:t>J’aime bien la définition que cite Laurent BATSCH dans son ouvrage « toute opération a une origine et une destination. Elle met en rapport une ressource et un emploi »</w:t>
      </w:r>
    </w:p>
    <w:p>
      <w:pPr>
        <w:spacing w:before="0" w:after="180" w:line="264" w:lineRule="auto"/>
        <w:ind w:firstLine="340"/>
        <w:jc w:val="both"/>
      </w:pPr>
      <w:r>
        <w:rPr>
          <w:rFonts w:ascii="Cambria" w:hAnsi="Cambria"/>
          <w:b w:val="0"/>
          <w:i w:val="0"/>
          <w:color w:val="141A21"/>
          <w:sz w:val="22"/>
        </w:rPr>
        <w:t>Le résultat :</w:t>
      </w:r>
    </w:p>
    <w:p>
      <w:pPr>
        <w:spacing w:before="0" w:after="180" w:line="264" w:lineRule="auto"/>
        <w:ind w:firstLine="340"/>
        <w:jc w:val="both"/>
      </w:pPr>
      <w:r>
        <w:rPr>
          <w:rFonts w:ascii="Cambria" w:hAnsi="Cambria"/>
          <w:b w:val="0"/>
          <w:i w:val="0"/>
          <w:color w:val="141A21"/>
          <w:sz w:val="22"/>
        </w:rPr>
        <w:t>Il est déterminé par les produits (les ventes de marchandise ou de prestations) auquel on déduit les charges (achats de marchandises et de prestations de services, frais financiers comme des agios bancaires, les frais de personnel, les taxes, les impôts et des amortissements). Ce calcul fait ressortir un bénéfice (les produits sont supérieurs aux charges) ou un déficit (c’est l’inverse)</w:t>
      </w:r>
    </w:p>
    <w:p>
      <w:pPr>
        <w:spacing w:before="0" w:after="180" w:line="264" w:lineRule="auto"/>
        <w:ind w:firstLine="340"/>
        <w:jc w:val="both"/>
      </w:pPr>
      <w:r>
        <w:rPr>
          <w:rFonts w:ascii="Cambria" w:hAnsi="Cambria"/>
          <w:b w:val="0"/>
          <w:i w:val="0"/>
          <w:color w:val="141A21"/>
          <w:sz w:val="22"/>
        </w:rPr>
        <w:t>Vous devez analyser votre résultat, il va vous parler, vous dire où vous avez dépensez trop, pourquoi la marge (écart entre votre prix de vente et votre cout d’achat) est négative. Toutes ces informations vous les trouvez dans votre compta, il faut savoir la lire.</w:t>
      </w:r>
    </w:p>
    <w:p>
      <w:pPr>
        <w:spacing w:before="0" w:after="180" w:line="264" w:lineRule="auto"/>
        <w:ind w:firstLine="340"/>
        <w:jc w:val="both"/>
      </w:pPr>
      <w:r>
        <w:rPr>
          <w:rFonts w:ascii="Cambria" w:hAnsi="Cambria"/>
          <w:b w:val="0"/>
          <w:i w:val="0"/>
          <w:color w:val="141A21"/>
          <w:sz w:val="22"/>
        </w:rPr>
        <w:t>Donc nous sommes d’accord la comptabilité générale est un outil de gestion, elle permet de connaitre la santé de notre entreprise, c’est clair mais c’est aussi une base d’enrichissement par l’Etat car c’est sur le résultat fiscal bénéficiaire que l’impôt est calculé.</w:t>
      </w:r>
    </w:p>
    <w:p>
      <w:pPr>
        <w:spacing w:before="0" w:after="180" w:line="264" w:lineRule="auto"/>
        <w:ind w:firstLine="340"/>
        <w:jc w:val="both"/>
      </w:pPr>
      <w:r>
        <w:rPr>
          <w:rFonts w:ascii="Cambria" w:hAnsi="Cambria"/>
          <w:b w:val="0"/>
          <w:i w:val="0"/>
          <w:color w:val="141A21"/>
          <w:sz w:val="22"/>
        </w:rPr>
        <w:t>Il ne faut pas oublier que « la comptabilité » est également un élément de preuve car elle enregistre dans des comptes, les unes à la suite des autres et par ordre chronologiques, toute les opérations, tous les actes qui ont été réalisés pour l’entreprise dans un document dénommé le « livre-journal ». Ensuite l’ensemble des comptes est reporté dans un document dénommé le « grand-livre ». J’aime souvent à dire que la lecture du « journal » nous indique comment c’est passé la journée de notre société mais que la lecture du « grand-livre » annuel me raconte toute la vie de l’entreprise comment elle est née, comment elle se développe et qu’elle croit. Bon d’accord vous n’êtes peut être pas encore arrivé à ce stade mais je vous assure que lire un grand-livre comptable peut être passionnant. Il m’est arrivé à plusieurs reprises et après lecture des comptes de discuter avec mes clients de leur situation économique et d’entendre mon client « mais vous connaissez tellement ma boite qu’on a l’impression que vous y êtes tous les jours »La comptabilité est souvent demandé par les juges afin d’étayer leurs jugements surtout quand la comptabilité a été établie par un professionnel, un expert-comptable.</w:t>
      </w:r>
    </w:p>
    <w:p>
      <w:pPr>
        <w:pStyle w:val="Heading3"/>
        <w:spacing w:before="400" w:after="100" w:line="276" w:lineRule="auto"/>
      </w:pPr>
      <w:r>
        <w:rPr>
          <w:rFonts w:ascii="Calibri" w:hAnsi="Calibri"/>
          <w:b/>
          <w:i w:val="0"/>
          <w:color w:val="141A21"/>
          <w:sz w:val="27"/>
        </w:rPr>
        <w:t>Le plan comptable général et les documents de synthèse</w:t>
      </w:r>
    </w:p>
    <w:p>
      <w:pPr>
        <w:spacing w:before="0" w:after="180" w:line="264" w:lineRule="auto"/>
        <w:jc w:val="both"/>
      </w:pPr>
      <w:r>
        <w:rPr>
          <w:rFonts w:ascii="Cambria" w:hAnsi="Cambria"/>
          <w:b w:val="0"/>
          <w:i w:val="0"/>
          <w:color w:val="141A21"/>
          <w:sz w:val="22"/>
        </w:rPr>
        <w:t>Toute cette organisation est régie par des règles qui forme le « plan comptable général dit PCG» crée après la deuxième guerre mondiale et remanié à plusieurs reprises pour s’actualisé. Hey les comptables ne sont pas des gens ringards malgré qu’on les appelle souvent « les Hommes du passé » car ils ont toujours une analyse sur une situation déjà terminée.</w:t>
      </w:r>
    </w:p>
    <w:p>
      <w:pPr>
        <w:spacing w:before="0" w:after="180" w:line="264" w:lineRule="auto"/>
        <w:ind w:firstLine="340"/>
        <w:jc w:val="both"/>
      </w:pPr>
      <w:r>
        <w:rPr>
          <w:rFonts w:ascii="Cambria" w:hAnsi="Cambria"/>
          <w:b w:val="0"/>
          <w:i w:val="0"/>
          <w:color w:val="141A21"/>
          <w:sz w:val="22"/>
        </w:rPr>
        <w:t>Le PCG classe les comptes par « famille » et les codifie par un nombre à 5 chiffres.</w:t>
      </w:r>
    </w:p>
    <w:p>
      <w:pPr>
        <w:spacing w:before="0" w:after="180" w:line="264" w:lineRule="auto"/>
        <w:ind w:firstLine="340"/>
        <w:jc w:val="both"/>
      </w:pPr>
      <w:r>
        <w:rPr>
          <w:rFonts w:ascii="Cambria" w:hAnsi="Cambria"/>
          <w:b w:val="0"/>
          <w:i w:val="0"/>
          <w:color w:val="141A21"/>
          <w:sz w:val="22"/>
        </w:rPr>
        <w:t>La famille des CAPITAUX reprend les comptes commençant par 1 (capital social, emprunt, réserve) ;</w:t>
      </w:r>
    </w:p>
    <w:p>
      <w:pPr>
        <w:spacing w:before="0" w:after="180" w:line="264" w:lineRule="auto"/>
        <w:ind w:firstLine="340"/>
        <w:jc w:val="both"/>
      </w:pPr>
      <w:r>
        <w:rPr>
          <w:rFonts w:ascii="Cambria" w:hAnsi="Cambria"/>
          <w:b w:val="0"/>
          <w:i w:val="0"/>
          <w:color w:val="141A21"/>
          <w:sz w:val="22"/>
        </w:rPr>
        <w:t>La famille des IMMOBILISATIONS reprend les comptes commençant par 2 ;</w:t>
      </w:r>
    </w:p>
    <w:p>
      <w:pPr>
        <w:spacing w:before="0" w:after="180" w:line="264" w:lineRule="auto"/>
        <w:ind w:firstLine="340"/>
        <w:jc w:val="both"/>
      </w:pPr>
      <w:r>
        <w:rPr>
          <w:rFonts w:ascii="Cambria" w:hAnsi="Cambria"/>
          <w:b w:val="0"/>
          <w:i w:val="0"/>
          <w:color w:val="141A21"/>
          <w:sz w:val="22"/>
        </w:rPr>
        <w:t>La famille des STOCKS reprend les comptes commençant par 3 ;</w:t>
      </w:r>
    </w:p>
    <w:p>
      <w:pPr>
        <w:spacing w:before="0" w:after="180" w:line="264" w:lineRule="auto"/>
        <w:ind w:firstLine="340"/>
        <w:jc w:val="both"/>
      </w:pPr>
      <w:r>
        <w:rPr>
          <w:rFonts w:ascii="Cambria" w:hAnsi="Cambria"/>
          <w:b w:val="0"/>
          <w:i w:val="0"/>
          <w:color w:val="141A21"/>
          <w:sz w:val="22"/>
        </w:rPr>
        <w:t>La famille des TIERS reprend les comptes commençant par 4 (fournisseurs, clients, salariés, associés, tec) ;</w:t>
      </w:r>
    </w:p>
    <w:p>
      <w:pPr>
        <w:spacing w:before="0" w:after="180" w:line="264" w:lineRule="auto"/>
        <w:ind w:firstLine="340"/>
        <w:jc w:val="both"/>
      </w:pPr>
      <w:r>
        <w:rPr>
          <w:rFonts w:ascii="Cambria" w:hAnsi="Cambria"/>
          <w:b w:val="0"/>
          <w:i w:val="0"/>
          <w:color w:val="141A21"/>
          <w:sz w:val="22"/>
        </w:rPr>
        <w:t>La famille des DISPONIBILITES FINANCIERES reprend les comptes commençant par 5 (banque, caisse, sicav monétaires) ;</w:t>
      </w:r>
    </w:p>
    <w:p>
      <w:pPr>
        <w:spacing w:before="0" w:after="180" w:line="264" w:lineRule="auto"/>
        <w:ind w:firstLine="340"/>
        <w:jc w:val="both"/>
      </w:pPr>
      <w:r>
        <w:rPr>
          <w:rFonts w:ascii="Cambria" w:hAnsi="Cambria"/>
          <w:b w:val="0"/>
          <w:i w:val="0"/>
          <w:color w:val="141A21"/>
          <w:sz w:val="22"/>
        </w:rPr>
        <w:t>La famille des CHARGES reprend les comptes commençant par 6 ;</w:t>
      </w:r>
    </w:p>
    <w:p>
      <w:pPr>
        <w:spacing w:before="0" w:after="180" w:line="264" w:lineRule="auto"/>
        <w:ind w:firstLine="340"/>
        <w:jc w:val="both"/>
      </w:pPr>
      <w:r>
        <w:rPr>
          <w:rFonts w:ascii="Cambria" w:hAnsi="Cambria"/>
          <w:b w:val="0"/>
          <w:i w:val="0"/>
          <w:color w:val="141A21"/>
          <w:sz w:val="22"/>
        </w:rPr>
        <w:t>La famille des PRODUITS reprend les comptes commençant par 7.</w:t>
      </w:r>
    </w:p>
    <w:p>
      <w:pPr>
        <w:spacing w:before="0" w:after="180" w:line="264" w:lineRule="auto"/>
        <w:ind w:firstLine="340"/>
        <w:jc w:val="both"/>
      </w:pPr>
      <w:r>
        <w:rPr>
          <w:rFonts w:ascii="Cambria" w:hAnsi="Cambria"/>
          <w:b w:val="0"/>
          <w:i w:val="0"/>
          <w:color w:val="141A21"/>
          <w:sz w:val="22"/>
        </w:rPr>
        <w:t>Cette classification est imposée et utilisée par toutes les entreprises ce qui permet également de comparer les entreprises entre elles. C’est idéologique certes mais depuis tout petit nous sommes comparés les uns au autres, déjà à l’école avec les notes et après par l’INSEE ou la Banque de France qui classe et compare les entreprises entre elles par rapport à leur bilan et leur attribue encore des notes pour les comparer.</w:t>
      </w:r>
    </w:p>
    <w:p>
      <w:pPr>
        <w:spacing w:before="0" w:after="180" w:line="264" w:lineRule="auto"/>
        <w:ind w:firstLine="340"/>
        <w:jc w:val="both"/>
      </w:pPr>
      <w:r>
        <w:rPr>
          <w:rFonts w:ascii="Cambria" w:hAnsi="Cambria"/>
          <w:b w:val="0"/>
          <w:i w:val="0"/>
          <w:color w:val="141A21"/>
          <w:sz w:val="22"/>
        </w:rPr>
        <w:t>Afin de comparer il convient d’établir des documents identiques. Le PCG les dénombre à 3 :</w:t>
      </w:r>
    </w:p>
    <w:p>
      <w:pPr>
        <w:spacing w:before="0" w:after="180" w:line="264" w:lineRule="auto"/>
        <w:ind w:firstLine="340"/>
        <w:jc w:val="both"/>
      </w:pPr>
      <w:r>
        <w:rPr>
          <w:rFonts w:ascii="Cambria" w:hAnsi="Cambria"/>
          <w:b w:val="0"/>
          <w:i w:val="0"/>
          <w:color w:val="141A21"/>
          <w:sz w:val="22"/>
        </w:rPr>
        <w:t>Le bilan, le résultat et les annexes.</w:t>
      </w:r>
    </w:p>
    <w:p>
      <w:pPr>
        <w:spacing w:before="0" w:after="180" w:line="264" w:lineRule="auto"/>
        <w:ind w:firstLine="340"/>
        <w:jc w:val="both"/>
      </w:pPr>
      <w:r>
        <w:rPr>
          <w:rFonts w:ascii="Cambria" w:hAnsi="Cambria"/>
          <w:b w:val="0"/>
          <w:i w:val="0"/>
          <w:color w:val="141A21"/>
          <w:sz w:val="22"/>
        </w:rPr>
        <w:t>Comme nous l’avons indiqué précédemment le bilan et le compte de résultat sont des documents construits autour des chiffres alors que l’Annexe est un dossier littéraire expliquant l’analyse de la situation de l’entreprise. L’ensemble de ces documents permet d’établir la fameuse « liasse fiscale » qui sera transmise à l’Administration fiscale et également aux tiers partenaires comme les banques ou des fournisseurs.</w:t>
      </w:r>
    </w:p>
    <w:p>
      <w:pPr>
        <w:spacing w:before="0" w:after="180" w:line="264" w:lineRule="auto"/>
        <w:ind w:firstLine="340"/>
        <w:jc w:val="both"/>
      </w:pPr>
      <w:r>
        <w:rPr>
          <w:rFonts w:ascii="Cambria" w:hAnsi="Cambria"/>
          <w:b w:val="0"/>
          <w:i w:val="0"/>
          <w:color w:val="141A21"/>
          <w:sz w:val="22"/>
        </w:rPr>
        <w:t>Si nous devions résumer, au tout premier lieu il convient d’enregistrer les pièces comptables (factures, relevés de banque, notes de frais, etc.) dans un « livre journal » au jour le jour. L’ensemble de ces opérations se retrouvera centralisé et classé dans le « grand-livre ». La balance est un état des soldes de comptes classés par famille, par numéros croissants, qui sera reprit dans la présentation des états annuels que son le résultat pour connaitre la richesse créée sur une période par l’entreprise et le bilan qui montrera la situation économique de l’entreprise à une date précise.</w:t>
      </w:r>
    </w:p>
    <w:p>
      <w:r>
        <w:br w:type="page"/>
      </w:r>
    </w:p>
    <w:p>
      <w:pPr>
        <w:pStyle w:val="Heading2"/>
        <w:spacing w:before="240" w:after="200" w:line="276" w:lineRule="auto"/>
      </w:pPr>
      <w:r>
        <w:rPr>
          <w:rFonts w:ascii="Calibri" w:hAnsi="Calibri"/>
          <w:b/>
          <w:i w:val="0"/>
          <w:color w:val="2F6D5F"/>
          <w:sz w:val="36"/>
        </w:rPr>
        <w:t>Chapitre 2 — Les travaux d'inventaire et la TVA</w:t>
      </w:r>
    </w:p>
    <w:p>
      <w:pPr>
        <w:spacing w:before="0" w:after="180" w:line="264" w:lineRule="auto"/>
        <w:jc w:val="both"/>
      </w:pPr>
      <w:r>
        <w:rPr>
          <w:rFonts w:ascii="Cambria" w:hAnsi="Cambria"/>
          <w:b w:val="0"/>
          <w:i w:val="0"/>
          <w:color w:val="141A21"/>
          <w:sz w:val="22"/>
        </w:rPr>
        <w:t>Afin d’établir la présentation annuelle de l’entreprise, il convient de réaliser une série de travaux que nous dénommons « l’inventaire ». Pour les plus anciens et je ne cite pas « que les moins de 20 ans ne peuvent pas connaitre », nous avons connu le moment ou certains magasins étaient « fermés pour cause d’inventaire ». En fait les entreprises fermaient l’accès au public pour pouvoir effectuer certains travaux comptables :</w:t>
      </w:r>
    </w:p>
    <w:p>
      <w:pPr>
        <w:pStyle w:val="Heading3"/>
        <w:spacing w:before="400" w:after="100" w:line="276" w:lineRule="auto"/>
      </w:pPr>
      <w:r>
        <w:rPr>
          <w:rFonts w:ascii="Calibri" w:hAnsi="Calibri"/>
          <w:b/>
          <w:i w:val="0"/>
          <w:color w:val="141A21"/>
          <w:sz w:val="27"/>
        </w:rPr>
        <w:t>Les amortissements</w:t>
      </w:r>
    </w:p>
    <w:p>
      <w:pPr>
        <w:spacing w:before="0" w:after="180" w:line="264" w:lineRule="auto"/>
        <w:jc w:val="both"/>
      </w:pPr>
      <w:r>
        <w:rPr>
          <w:rFonts w:ascii="Cambria" w:hAnsi="Cambria"/>
          <w:b w:val="0"/>
          <w:i w:val="0"/>
          <w:color w:val="141A21"/>
          <w:sz w:val="22"/>
        </w:rPr>
        <w:t>1°) La détermination des amortissements : cette décision de gestion du chef d’entreprise se traduit par la détermination d’une durée d’utilisation d’un bien. Si l’ENTREPRENEUR considère que cet investissement sera utilisé sur une durée dépassant un exercice social (donc le plus souvent une durée dépassant 12 mois), il convient d’enregistrement cet investissement dans un compte d’immobilisation (donc de la famille 2) et de constater une charge de dépréciation relative à l’exercice social.</w:t>
      </w:r>
    </w:p>
    <w:p>
      <w:pPr>
        <w:spacing w:before="0" w:after="180" w:line="264" w:lineRule="auto"/>
        <w:ind w:firstLine="340"/>
        <w:jc w:val="both"/>
      </w:pPr>
      <w:r>
        <w:rPr>
          <w:rFonts w:ascii="Cambria" w:hAnsi="Cambria"/>
          <w:b w:val="0"/>
          <w:i w:val="0"/>
          <w:color w:val="141A21"/>
          <w:sz w:val="22"/>
        </w:rPr>
        <w:t>Une entreprise de menuiserie acquière une machine de découpe de bois, le 1er juillet de l’année N, pour une somme de 10.000€. Le chef d’entreprise considère que cette machine sera conservée 4 ans. Cela va donc déterminer une charge annuelle appelée « dotation aux amortissements » d’un montant de 2.500€. Néanmoins lors de l’arrêté de ses comptes au 31 décembre N, la dépréciation doit être calculée au « prorata temporis », c'est-à-dire pour la durée de temps réellement utilisée soit 1.250€ (2.500€ x 6 mois (1er juillet au 31 décembre N) / 12 mois de l’année N).</w:t>
      </w:r>
    </w:p>
    <w:p>
      <w:pPr>
        <w:spacing w:before="0" w:after="180" w:line="264" w:lineRule="auto"/>
        <w:ind w:firstLine="340"/>
        <w:jc w:val="both"/>
      </w:pPr>
      <w:r>
        <w:rPr>
          <w:rFonts w:ascii="Cambria" w:hAnsi="Cambria"/>
          <w:b w:val="0"/>
          <w:i w:val="0"/>
          <w:color w:val="141A21"/>
          <w:sz w:val="22"/>
        </w:rPr>
        <w:t>L’écriture comptable sera donc</w:t>
      </w:r>
    </w:p>
    <w:p>
      <w:pPr>
        <w:spacing w:before="0" w:after="180" w:line="264" w:lineRule="auto"/>
        <w:ind w:firstLine="340"/>
        <w:jc w:val="both"/>
      </w:pPr>
      <w:r>
        <w:rPr>
          <w:rFonts w:ascii="Cambria" w:hAnsi="Cambria"/>
          <w:b w:val="0"/>
          <w:i w:val="0"/>
          <w:color w:val="141A21"/>
          <w:sz w:val="22"/>
        </w:rPr>
        <w:t>Lors de l’achat à notre fournisseur de la machine</w:t>
      </w:r>
    </w:p>
    <w:p>
      <w:pPr>
        <w:spacing w:before="0" w:after="180" w:line="264" w:lineRule="auto"/>
        <w:ind w:firstLine="340"/>
        <w:jc w:val="both"/>
      </w:pPr>
      <w:r>
        <w:rPr>
          <w:rFonts w:ascii="Cambria" w:hAnsi="Cambria"/>
          <w:b w:val="0"/>
          <w:i w:val="0"/>
          <w:color w:val="141A21"/>
          <w:sz w:val="22"/>
        </w:rPr>
        <w:t>Compte 2 immobilisation compte 401 fournisseur</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10000 10000</w:t>
      </w:r>
    </w:p>
    <w:p>
      <w:pPr>
        <w:spacing w:before="0" w:after="180" w:line="264" w:lineRule="auto"/>
        <w:ind w:firstLine="340"/>
        <w:jc w:val="both"/>
      </w:pPr>
      <w:r>
        <w:rPr>
          <w:rFonts w:ascii="Cambria" w:hAnsi="Cambria"/>
          <w:b w:val="0"/>
          <w:i w:val="0"/>
          <w:color w:val="141A21"/>
          <w:sz w:val="22"/>
        </w:rPr>
        <w:t>A la clôture des comptes au 31 décembre N, nous devons constatons une perte de la valeur de notre machine qui s’abime à force d’être utilisée. Le système comptable français est dit de « valeur historique » c'est-à-dire que la comptabilité doit bien sur représenter la valeur globale de l’entreprise à une date (photo) mais l’analyse financière doit montrer également la valeur des investissements historiques réalisés par l’entreprise. Il convient donc d’utiliser un compte d’amortissement de numéro 28 afin d’enregistrer le cout de la dépréciation de l’immobilisation sans venir diminuer le compte 2 correspond a la valeur des investissements en valeur historique. Le compte 2 n’est diminué que lorsque l’immobilisation sort du patrimoine de l’entreprise soit par une cession soit par la mise au rebut de l’investissement.</w:t>
      </w:r>
    </w:p>
    <w:p>
      <w:pPr>
        <w:spacing w:before="0" w:after="180" w:line="264" w:lineRule="auto"/>
        <w:ind w:firstLine="340"/>
        <w:jc w:val="both"/>
      </w:pPr>
      <w:r>
        <w:rPr>
          <w:rFonts w:ascii="Cambria" w:hAnsi="Cambria"/>
          <w:b w:val="0"/>
          <w:i w:val="0"/>
          <w:color w:val="141A21"/>
          <w:sz w:val="22"/>
        </w:rPr>
        <w:t>Compte 68 Dotations aux amortis. Compte 28 amortis.immobilisation</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1250 1250</w:t>
      </w:r>
    </w:p>
    <w:p>
      <w:pPr>
        <w:spacing w:before="0" w:after="180" w:line="264" w:lineRule="auto"/>
        <w:ind w:firstLine="340"/>
        <w:jc w:val="both"/>
      </w:pPr>
      <w:r>
        <w:rPr>
          <w:rFonts w:ascii="Cambria" w:hAnsi="Cambria"/>
          <w:b w:val="0"/>
          <w:i w:val="0"/>
          <w:color w:val="141A21"/>
          <w:sz w:val="22"/>
        </w:rPr>
        <w:t>De ce fait nos comptes 2 se retrouvent au 31 décembre N avec un solde de :</w:t>
      </w:r>
    </w:p>
    <w:p>
      <w:pPr>
        <w:spacing w:before="0" w:after="180" w:line="264" w:lineRule="auto"/>
        <w:ind w:firstLine="340"/>
        <w:jc w:val="both"/>
      </w:pPr>
      <w:r>
        <w:rPr>
          <w:rFonts w:ascii="Cambria" w:hAnsi="Cambria"/>
          <w:b w:val="0"/>
          <w:i w:val="0"/>
          <w:color w:val="141A21"/>
          <w:sz w:val="22"/>
        </w:rPr>
        <w:t>Compte 2 immobilisation compte 28 amortis.immobilisation</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10000 1250</w:t>
      </w:r>
    </w:p>
    <w:p>
      <w:pPr>
        <w:spacing w:before="0" w:after="180" w:line="264" w:lineRule="auto"/>
        <w:ind w:firstLine="340"/>
        <w:jc w:val="both"/>
      </w:pPr>
      <w:r>
        <w:rPr>
          <w:rFonts w:ascii="Cambria" w:hAnsi="Cambria"/>
          <w:b w:val="0"/>
          <w:i w:val="0"/>
          <w:color w:val="141A21"/>
          <w:sz w:val="22"/>
        </w:rPr>
        <w:t>Soit une valeur économique de 8750€</w:t>
      </w:r>
    </w:p>
    <w:p>
      <w:pPr>
        <w:spacing w:before="0" w:after="180" w:line="264" w:lineRule="auto"/>
        <w:ind w:firstLine="340"/>
        <w:jc w:val="both"/>
      </w:pPr>
      <w:r>
        <w:rPr>
          <w:rFonts w:ascii="Cambria" w:hAnsi="Cambria"/>
          <w:b w:val="0"/>
          <w:i w:val="0"/>
          <w:color w:val="141A21"/>
          <w:sz w:val="22"/>
        </w:rPr>
        <w:t>Donc le bilan (photographie au 31 décembre N) la valeur de notre machine sera de 8750€, ce qui correspond à la valeur « réelle » que le chef d’entreprise à déterminé.</w:t>
      </w:r>
    </w:p>
    <w:p>
      <w:pPr>
        <w:spacing w:before="0" w:after="180" w:line="264" w:lineRule="auto"/>
        <w:ind w:firstLine="340"/>
        <w:jc w:val="both"/>
      </w:pPr>
      <w:r>
        <w:rPr>
          <w:rFonts w:ascii="Cambria" w:hAnsi="Cambria"/>
          <w:b w:val="0"/>
          <w:i w:val="0"/>
          <w:color w:val="141A21"/>
          <w:sz w:val="22"/>
        </w:rPr>
        <w:t>Evidemment cette opération comptable agit sur le résultat de l’entreprise puisque, comme vu précédemment, le compte 681 dotation aux amortissements est un compte de charge donc il diminue le résultat de l’entreprise. Ce résultat servant de base de calcul pour l’impôt (sur le revenu ou des sociétés) l’Administration fiscale se réserve le fait de s’assurer de la durée réelle d’utilisation afin de «rehausser » le résultat donc la base de calcul au cas ou.</w:t>
      </w:r>
    </w:p>
    <w:p>
      <w:pPr>
        <w:spacing w:before="0" w:after="180" w:line="264" w:lineRule="auto"/>
        <w:ind w:firstLine="340"/>
        <w:jc w:val="both"/>
      </w:pPr>
      <w:r>
        <w:rPr>
          <w:rFonts w:ascii="Cambria" w:hAnsi="Cambria"/>
          <w:b w:val="0"/>
          <w:i w:val="0"/>
          <w:color w:val="141A21"/>
          <w:sz w:val="22"/>
        </w:rPr>
        <w:t>Dans la pratique le chef d’entreprise a souvent tendance à demander à son expert-comptable de pratiquer des durée d’amortissement courte pour pouvoir imputer sur son résultat plus de charges et payer moins d’impôts. Le risque est réel de rehaussement lors d’un contrôle si la durée de renouvellement du bien n’est pas respectée.</w:t>
      </w:r>
    </w:p>
    <w:p>
      <w:pPr>
        <w:spacing w:before="0" w:after="180" w:line="264" w:lineRule="auto"/>
        <w:ind w:firstLine="340"/>
        <w:jc w:val="both"/>
      </w:pPr>
      <w:r>
        <w:rPr>
          <w:rFonts w:ascii="Cambria" w:hAnsi="Cambria"/>
          <w:b w:val="0"/>
          <w:i w:val="0"/>
          <w:color w:val="141A21"/>
          <w:sz w:val="22"/>
        </w:rPr>
        <w:t>Reprenons notre exemple avec notre machine à bois.</w:t>
      </w:r>
    </w:p>
    <w:p>
      <w:pPr>
        <w:spacing w:before="0" w:after="180" w:line="264" w:lineRule="auto"/>
        <w:ind w:firstLine="340"/>
        <w:jc w:val="both"/>
      </w:pPr>
      <w:r>
        <w:rPr>
          <w:rFonts w:ascii="Cambria" w:hAnsi="Cambria"/>
          <w:b w:val="0"/>
          <w:i w:val="0"/>
          <w:color w:val="141A21"/>
          <w:sz w:val="22"/>
        </w:rPr>
        <w:t>La machine devrait être renouveler au 1er juillet N+4. A cette date notre menuisier estime que sa machine peut encore être conservée une année de plus.</w:t>
      </w:r>
    </w:p>
    <w:p>
      <w:pPr>
        <w:spacing w:before="0" w:after="180" w:line="264" w:lineRule="auto"/>
        <w:ind w:firstLine="340"/>
        <w:jc w:val="both"/>
      </w:pPr>
      <w:r>
        <w:rPr>
          <w:rFonts w:ascii="Cambria" w:hAnsi="Cambria"/>
          <w:b w:val="0"/>
          <w:i w:val="0"/>
          <w:color w:val="141A21"/>
          <w:sz w:val="22"/>
        </w:rPr>
        <w:t>Donc au 31 décembre N+4 les amortissements réellement enregistrés seront de 1250€</w:t>
      </w:r>
    </w:p>
    <w:p>
      <w:pPr>
        <w:spacing w:before="0" w:after="180" w:line="264" w:lineRule="auto"/>
        <w:ind w:firstLine="340"/>
        <w:jc w:val="both"/>
      </w:pPr>
      <w:r>
        <w:rPr>
          <w:rFonts w:ascii="Cambria" w:hAnsi="Cambria"/>
          <w:b w:val="0"/>
          <w:i w:val="0"/>
          <w:color w:val="141A21"/>
          <w:sz w:val="22"/>
        </w:rPr>
        <w:t>En N+5 l’Administration fiscale effectue un contrôle fiscal sur les exercices N+2 à N+4 inclus.</w:t>
      </w:r>
    </w:p>
    <w:p>
      <w:pPr>
        <w:spacing w:before="0" w:after="180" w:line="264" w:lineRule="auto"/>
        <w:ind w:firstLine="340"/>
        <w:jc w:val="both"/>
      </w:pPr>
      <w:r>
        <w:rPr>
          <w:rFonts w:ascii="Cambria" w:hAnsi="Cambria"/>
          <w:b w:val="0"/>
          <w:i w:val="0"/>
          <w:color w:val="141A21"/>
          <w:sz w:val="22"/>
        </w:rPr>
        <w:t>Elle constate que la durée d’utilisation réelle de cette machine a dépassé la durée prévue initialement. Elle compare avec la durée préconisée par ses services, soit pour une telle machine une durée de 5 ans soit un amortissement annuel de 2.000 €.</w:t>
      </w:r>
    </w:p>
    <w:p>
      <w:pPr>
        <w:spacing w:before="0" w:after="180" w:line="264" w:lineRule="auto"/>
        <w:ind w:firstLine="340"/>
        <w:jc w:val="both"/>
      </w:pPr>
      <w:r>
        <w:rPr>
          <w:rFonts w:ascii="Cambria" w:hAnsi="Cambria"/>
          <w:b w:val="0"/>
          <w:i w:val="0"/>
          <w:color w:val="141A21"/>
          <w:sz w:val="22"/>
        </w:rPr>
        <w:t>Elle va donc considérer que la charge d’amortissement comptabilisé pour les années N+2 à N+4 soit 2.500€ a été trop importante de 500€ par année.</w:t>
      </w:r>
    </w:p>
    <w:p>
      <w:pPr>
        <w:spacing w:before="0" w:after="180" w:line="264" w:lineRule="auto"/>
        <w:ind w:firstLine="340"/>
        <w:jc w:val="both"/>
      </w:pPr>
      <w:r>
        <w:rPr>
          <w:rFonts w:ascii="Cambria" w:hAnsi="Cambria"/>
          <w:b w:val="0"/>
          <w:i w:val="0"/>
          <w:color w:val="141A21"/>
          <w:sz w:val="22"/>
        </w:rPr>
        <w:t>Elle va donc redresser le résultat fiscal (donc la base d’imposition) des exercices N+2, N+3 et N+4 de 500€ et recalculer l’impôt fiscal.</w:t>
      </w:r>
    </w:p>
    <w:p>
      <w:pPr>
        <w:spacing w:before="0" w:after="180" w:line="264" w:lineRule="auto"/>
        <w:ind w:firstLine="340"/>
        <w:jc w:val="both"/>
      </w:pPr>
      <w:r>
        <w:rPr>
          <w:rFonts w:ascii="Cambria" w:hAnsi="Cambria"/>
          <w:b w:val="0"/>
          <w:i w:val="0"/>
          <w:color w:val="141A21"/>
          <w:sz w:val="22"/>
        </w:rPr>
        <w:t>Le choix de la durée d’utilisation doit être bien pensé par le chef d’entreprise car le risque est bien réel et lors des contrôles fiscaux c’est difficile pour le professionnel du chiffre de défendre son client lorsque nous constatons que le bien est resté bien plus longtemps dans l’actif de l’entreprise que prévu initialement lors de son acquisition.</w:t>
      </w:r>
    </w:p>
    <w:p>
      <w:pPr>
        <w:spacing w:before="0" w:after="180" w:line="264" w:lineRule="auto"/>
        <w:ind w:firstLine="340"/>
        <w:jc w:val="both"/>
      </w:pPr>
      <w:r>
        <w:rPr>
          <w:rFonts w:ascii="Cambria" w:hAnsi="Cambria"/>
          <w:b w:val="0"/>
          <w:i w:val="0"/>
          <w:color w:val="141A21"/>
          <w:sz w:val="22"/>
        </w:rPr>
        <w:t>L’Administration permet dans sa grande bonté (on fayote on ne sait jamais si cet ouvrage passera dans les mains de mon inspecteur des impôts) que constater un investissement (donc un bien utilisé sur plusieurs exercice) directement en charge pour l’intégralité de sa valeur si cette valeur est inférieur ou égale à 500€ (information en 2019).</w:t>
      </w:r>
    </w:p>
    <w:p>
      <w:pPr>
        <w:pStyle w:val="Heading3"/>
        <w:spacing w:before="400" w:after="100" w:line="276" w:lineRule="auto"/>
      </w:pPr>
      <w:r>
        <w:rPr>
          <w:rFonts w:ascii="Calibri" w:hAnsi="Calibri"/>
          <w:b/>
          <w:i w:val="0"/>
          <w:color w:val="141A21"/>
          <w:sz w:val="27"/>
        </w:rPr>
        <w:t>Les provisions pour dépréciation</w:t>
      </w:r>
    </w:p>
    <w:p>
      <w:pPr>
        <w:spacing w:before="0" w:after="180" w:line="264" w:lineRule="auto"/>
        <w:jc w:val="both"/>
      </w:pPr>
      <w:r>
        <w:rPr>
          <w:rFonts w:ascii="Cambria" w:hAnsi="Cambria"/>
          <w:b w:val="0"/>
          <w:i w:val="0"/>
          <w:color w:val="141A21"/>
          <w:sz w:val="22"/>
        </w:rPr>
        <w:t>2°) les provisions pour dépréciation d’un élément d’actif :</w:t>
      </w:r>
    </w:p>
    <w:p>
      <w:pPr>
        <w:spacing w:before="0" w:after="180" w:line="264" w:lineRule="auto"/>
        <w:ind w:firstLine="340"/>
        <w:jc w:val="both"/>
      </w:pPr>
      <w:r>
        <w:rPr>
          <w:rFonts w:ascii="Cambria" w:hAnsi="Cambria"/>
          <w:b w:val="0"/>
          <w:i w:val="0"/>
          <w:color w:val="141A21"/>
          <w:sz w:val="22"/>
        </w:rPr>
        <w:t>A la différence des matériels certains postes de l’actif peuvent subir des « dévalorisations » ponctuelles à la clôture de l’exercice, comme des marchandises en stock qui ne trouvent plus preneurs car plus à la mode, des placements financiers dont le cours à chuté, des dus clients avec lesquels un litige est en cours. Il convient donc d’enregistrer une charge dans un compte 68 comme les amortissements et en contrepartie un compte de « provision pour dépréciation » distinct par nature du bien de l’actif.</w:t>
      </w:r>
    </w:p>
    <w:p>
      <w:pPr>
        <w:spacing w:before="0" w:after="180" w:line="264" w:lineRule="auto"/>
        <w:ind w:firstLine="340"/>
        <w:jc w:val="both"/>
      </w:pPr>
      <w:r>
        <w:rPr>
          <w:rFonts w:ascii="Cambria" w:hAnsi="Cambria"/>
          <w:b w:val="0"/>
          <w:i w:val="0"/>
          <w:color w:val="141A21"/>
          <w:sz w:val="22"/>
        </w:rPr>
        <w:t>Compte 29 qui constatera une dépréciation d’un poste d’immobilisation, comme des titres de société immobilisés ;</w:t>
      </w:r>
    </w:p>
    <w:p>
      <w:pPr>
        <w:spacing w:before="0" w:after="180" w:line="264" w:lineRule="auto"/>
        <w:ind w:firstLine="340"/>
        <w:jc w:val="both"/>
      </w:pPr>
      <w:r>
        <w:rPr>
          <w:rFonts w:ascii="Cambria" w:hAnsi="Cambria"/>
          <w:b w:val="0"/>
          <w:i w:val="0"/>
          <w:color w:val="141A21"/>
          <w:sz w:val="22"/>
        </w:rPr>
        <w:t>Compte 39 qui constatera une dépréciation d’un poste de stock de marchandises ;</w:t>
      </w:r>
    </w:p>
    <w:p>
      <w:pPr>
        <w:spacing w:before="0" w:after="180" w:line="264" w:lineRule="auto"/>
        <w:ind w:firstLine="340"/>
        <w:jc w:val="both"/>
      </w:pPr>
      <w:r>
        <w:rPr>
          <w:rFonts w:ascii="Cambria" w:hAnsi="Cambria"/>
          <w:b w:val="0"/>
          <w:i w:val="0"/>
          <w:color w:val="141A21"/>
          <w:sz w:val="22"/>
        </w:rPr>
        <w:t>Compte 49 qui constatera une dépréciation d’un poste de clients en litige ;</w:t>
      </w:r>
    </w:p>
    <w:p>
      <w:pPr>
        <w:spacing w:before="0" w:after="180" w:line="264" w:lineRule="auto"/>
        <w:ind w:firstLine="340"/>
        <w:jc w:val="both"/>
      </w:pPr>
      <w:r>
        <w:rPr>
          <w:rFonts w:ascii="Cambria" w:hAnsi="Cambria"/>
          <w:b w:val="0"/>
          <w:i w:val="0"/>
          <w:color w:val="141A21"/>
          <w:sz w:val="22"/>
        </w:rPr>
        <w:t>Compte 59 qui constatera une dépréciation d’un poste de sicav monétaire ;</w:t>
      </w:r>
    </w:p>
    <w:p>
      <w:pPr>
        <w:spacing w:before="0" w:after="180" w:line="264" w:lineRule="auto"/>
        <w:ind w:firstLine="340"/>
        <w:jc w:val="both"/>
      </w:pPr>
      <w:r>
        <w:rPr>
          <w:rFonts w:ascii="Cambria" w:hAnsi="Cambria"/>
          <w:b w:val="0"/>
          <w:i w:val="0"/>
          <w:color w:val="141A21"/>
          <w:sz w:val="22"/>
        </w:rPr>
        <w:t>La spécificité de ces comptes comportant un 9 en deuxième rang, détermine des comptes d’actif mais qui sont « anormalement créditeurs »</w:t>
      </w:r>
    </w:p>
    <w:p>
      <w:pPr>
        <w:pStyle w:val="Heading3"/>
        <w:spacing w:before="400" w:after="100" w:line="276" w:lineRule="auto"/>
      </w:pPr>
      <w:r>
        <w:rPr>
          <w:rFonts w:ascii="Calibri" w:hAnsi="Calibri"/>
          <w:b/>
          <w:i w:val="0"/>
          <w:color w:val="141A21"/>
          <w:sz w:val="27"/>
        </w:rPr>
        <w:t>Le réajustement des charges et des produits</w:t>
      </w:r>
    </w:p>
    <w:p>
      <w:pPr>
        <w:spacing w:before="0" w:after="180" w:line="264" w:lineRule="auto"/>
        <w:jc w:val="both"/>
      </w:pPr>
      <w:r>
        <w:rPr>
          <w:rFonts w:ascii="Cambria" w:hAnsi="Cambria"/>
          <w:b w:val="0"/>
          <w:i w:val="0"/>
          <w:color w:val="141A21"/>
          <w:sz w:val="22"/>
        </w:rPr>
        <w:t>3°) réajustement des comptes de charges et de produits :</w:t>
      </w:r>
    </w:p>
    <w:p>
      <w:pPr>
        <w:spacing w:before="0" w:after="180" w:line="264" w:lineRule="auto"/>
        <w:ind w:firstLine="340"/>
        <w:jc w:val="both"/>
      </w:pPr>
      <w:r>
        <w:rPr>
          <w:rFonts w:ascii="Cambria" w:hAnsi="Cambria"/>
          <w:b w:val="0"/>
          <w:i w:val="0"/>
          <w:color w:val="141A21"/>
          <w:sz w:val="22"/>
        </w:rPr>
        <w:t>En cours d’exercice il sera enregistré les factures datées de l’exercice. Néanmoins certaines charges peuvent concernées des périodes s’étalant sur plusieurs exercices sociaux. Prenons par exemple les assurances. Au 30 septembre de l’année N l’entreprise règle sa prime d’assurance de responsabilité civile professionnelle pour la période du 1er octobre N au 30 septembre N+1 s’élevant à la somme de 1.000€ et comptabilisée pour cette somme dans le compte de charge 616 assurances. Lors de l’arrêté des comptes au 31 décembre N, il convient de réajuster ce compte 616 qui est trop élevé pour l’exercice N de 750€ (9 mois sur 12).</w:t>
      </w:r>
    </w:p>
    <w:p>
      <w:pPr>
        <w:spacing w:before="0" w:after="180" w:line="264" w:lineRule="auto"/>
        <w:ind w:firstLine="340"/>
        <w:jc w:val="both"/>
      </w:pPr>
      <w:r>
        <w:rPr>
          <w:rFonts w:ascii="Cambria" w:hAnsi="Cambria"/>
          <w:b w:val="0"/>
          <w:i w:val="0"/>
          <w:color w:val="141A21"/>
          <w:sz w:val="22"/>
        </w:rPr>
        <w:t>Pour cela nous allons utiliser un compte de transition numéroté 486 et intitulé « charges constatées d’avance » et mouvementé pour une somme de 750€, et diminuer le compte 616.</w:t>
      </w:r>
    </w:p>
    <w:p>
      <w:pPr>
        <w:spacing w:before="0" w:after="180" w:line="264" w:lineRule="auto"/>
        <w:ind w:firstLine="340"/>
        <w:jc w:val="both"/>
      </w:pPr>
      <w:r>
        <w:rPr>
          <w:rFonts w:ascii="Cambria" w:hAnsi="Cambria"/>
          <w:b w:val="0"/>
          <w:i w:val="0"/>
          <w:color w:val="141A21"/>
          <w:sz w:val="22"/>
        </w:rPr>
        <w:t>616 assurances 486 charges constatées d’avance</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750 750</w:t>
      </w:r>
    </w:p>
    <w:p>
      <w:pPr>
        <w:spacing w:before="0" w:after="180" w:line="264" w:lineRule="auto"/>
        <w:ind w:firstLine="340"/>
        <w:jc w:val="both"/>
      </w:pPr>
      <w:r>
        <w:rPr>
          <w:rFonts w:ascii="Cambria" w:hAnsi="Cambria"/>
          <w:b w:val="0"/>
          <w:i w:val="0"/>
          <w:color w:val="141A21"/>
          <w:sz w:val="22"/>
        </w:rPr>
        <w:t>Dans le même genre de situation il arrive que l’entreprise facture en année N des produits qui se réaliseront partiellement sur l’exercice N et N+1. Dans ce cas la technique est identique mais on utilisera un compte 487 produits constatés d’avance.</w:t>
      </w:r>
    </w:p>
    <w:p>
      <w:pPr>
        <w:spacing w:before="0" w:after="180" w:line="264" w:lineRule="auto"/>
        <w:ind w:firstLine="340"/>
        <w:jc w:val="both"/>
      </w:pPr>
      <w:r>
        <w:rPr>
          <w:rFonts w:ascii="Cambria" w:hAnsi="Cambria"/>
          <w:b w:val="0"/>
          <w:i w:val="0"/>
          <w:color w:val="141A21"/>
          <w:sz w:val="22"/>
        </w:rPr>
        <w:t>Il convient de lister également les factures d’achat non réceptionnées ou de produit non établies à la date d’arrêté des comptes.</w:t>
      </w:r>
    </w:p>
    <w:p>
      <w:pPr>
        <w:spacing w:before="0" w:after="180" w:line="264" w:lineRule="auto"/>
        <w:ind w:firstLine="340"/>
        <w:jc w:val="both"/>
      </w:pPr>
      <w:r>
        <w:rPr>
          <w:rFonts w:ascii="Cambria" w:hAnsi="Cambria"/>
          <w:b w:val="0"/>
          <w:i w:val="0"/>
          <w:color w:val="141A21"/>
          <w:sz w:val="22"/>
        </w:rPr>
        <w:t>L’entreprise a reçu une quantité de bois le 29 décembre N pour réaliser ses meubles qu’elle vendra, pour un montant de 1.000€, mais la facture ne sera établie que le 3 janvier N+1 et réceptionnée le 5 janvier N+1. Néanmoins cette charge doit être rattachée à l’exercice N.</w:t>
      </w:r>
    </w:p>
    <w:p>
      <w:pPr>
        <w:spacing w:before="0" w:after="180" w:line="264" w:lineRule="auto"/>
        <w:ind w:firstLine="340"/>
        <w:jc w:val="both"/>
      </w:pPr>
      <w:r>
        <w:rPr>
          <w:rFonts w:ascii="Cambria" w:hAnsi="Cambria"/>
          <w:b w:val="0"/>
          <w:i w:val="0"/>
          <w:color w:val="141A21"/>
          <w:sz w:val="22"/>
        </w:rPr>
        <w:t>601 achats matière première 408 fournisseurs factures non parvenues</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1000 1000</w:t>
      </w:r>
    </w:p>
    <w:p>
      <w:pPr>
        <w:spacing w:before="0" w:after="180" w:line="264" w:lineRule="auto"/>
        <w:ind w:firstLine="340"/>
        <w:jc w:val="both"/>
      </w:pPr>
      <w:r>
        <w:rPr>
          <w:rFonts w:ascii="Cambria" w:hAnsi="Cambria"/>
          <w:b w:val="0"/>
          <w:i w:val="0"/>
          <w:color w:val="141A21"/>
          <w:sz w:val="22"/>
        </w:rPr>
        <w:t>Dans le même genre de situation il arrive que l’entreprise facture en année N+1 des produits qu’elle a généré sur l’exercice N+1. Dans ce cas la technique est identique mais on utilisera un compte 418 factures à établir.</w:t>
      </w:r>
    </w:p>
    <w:p>
      <w:pPr>
        <w:pStyle w:val="Heading3"/>
        <w:spacing w:before="400" w:after="100" w:line="276" w:lineRule="auto"/>
      </w:pPr>
      <w:r>
        <w:rPr>
          <w:rFonts w:ascii="Calibri" w:hAnsi="Calibri"/>
          <w:b/>
          <w:i w:val="0"/>
          <w:color w:val="141A21"/>
          <w:sz w:val="27"/>
        </w:rPr>
        <w:t>Le stock</w:t>
      </w:r>
    </w:p>
    <w:p>
      <w:pPr>
        <w:spacing w:before="0" w:after="180" w:line="264" w:lineRule="auto"/>
        <w:jc w:val="both"/>
      </w:pPr>
      <w:r>
        <w:rPr>
          <w:rFonts w:ascii="Cambria" w:hAnsi="Cambria"/>
          <w:b w:val="0"/>
          <w:i w:val="0"/>
          <w:color w:val="141A21"/>
          <w:sz w:val="22"/>
        </w:rPr>
        <w:t>4°) le stock :</w:t>
      </w:r>
    </w:p>
    <w:p>
      <w:pPr>
        <w:spacing w:before="0" w:after="180" w:line="264" w:lineRule="auto"/>
        <w:ind w:firstLine="340"/>
        <w:jc w:val="both"/>
      </w:pPr>
      <w:r>
        <w:rPr>
          <w:rFonts w:ascii="Cambria" w:hAnsi="Cambria"/>
          <w:b w:val="0"/>
          <w:i w:val="0"/>
          <w:color w:val="141A21"/>
          <w:sz w:val="22"/>
        </w:rPr>
        <w:t>Il représente à un date donnée, les produits ou matières premières achetés mais non encore vendus ou consommés.il convient donc de « retirer » la charge correspondante à la détermination du résultat mais sans intervenir sur le compte de charge des achats puisque la facture correspond bien à la livraison lors de l’exercice en cours.</w:t>
      </w:r>
    </w:p>
    <w:p>
      <w:pPr>
        <w:spacing w:before="0" w:after="180" w:line="264" w:lineRule="auto"/>
        <w:ind w:firstLine="340"/>
        <w:jc w:val="both"/>
      </w:pPr>
      <w:r>
        <w:rPr>
          <w:rFonts w:ascii="Cambria" w:hAnsi="Cambria"/>
          <w:b w:val="0"/>
          <w:i w:val="0"/>
          <w:color w:val="141A21"/>
          <w:sz w:val="22"/>
        </w:rPr>
        <w:t>Pour chaque type d’achats il convient de gérer un compte de stock dans lequel on enregistrera les entrées et les sorties. Dans la pratique il n’est pas obligatoire de suivre tous les éléments comme les fournitures administratives de type ramettes de papier ou stylos.</w:t>
      </w:r>
    </w:p>
    <w:p>
      <w:pPr>
        <w:spacing w:before="0" w:after="180" w:line="264" w:lineRule="auto"/>
        <w:ind w:firstLine="340"/>
        <w:jc w:val="both"/>
      </w:pPr>
      <w:r>
        <w:rPr>
          <w:rFonts w:ascii="Cambria" w:hAnsi="Cambria"/>
          <w:b w:val="0"/>
          <w:i w:val="0"/>
          <w:color w:val="141A21"/>
          <w:sz w:val="22"/>
        </w:rPr>
        <w:t>La technique est simple, on constate à chaque clôture d’exercice le montant du stock à cette même date.</w:t>
      </w:r>
    </w:p>
    <w:p>
      <w:pPr>
        <w:spacing w:before="0" w:after="180" w:line="264" w:lineRule="auto"/>
        <w:ind w:firstLine="340"/>
        <w:jc w:val="both"/>
      </w:pPr>
      <w:r>
        <w:rPr>
          <w:rFonts w:ascii="Cambria" w:hAnsi="Cambria"/>
          <w:b w:val="0"/>
          <w:i w:val="0"/>
          <w:color w:val="141A21"/>
          <w:sz w:val="22"/>
        </w:rPr>
        <w:t>Reprenons l’exemple de notre bois acquit le 29 décembre N pour un montant de 1.000€. Au 31 décembre il lui reste 900€ de bois.</w:t>
      </w:r>
    </w:p>
    <w:p>
      <w:pPr>
        <w:spacing w:before="0" w:after="180" w:line="264" w:lineRule="auto"/>
        <w:ind w:firstLine="340"/>
        <w:jc w:val="both"/>
      </w:pPr>
      <w:r>
        <w:rPr>
          <w:rFonts w:ascii="Cambria" w:hAnsi="Cambria"/>
          <w:b w:val="0"/>
          <w:i w:val="0"/>
          <w:color w:val="141A21"/>
          <w:sz w:val="22"/>
        </w:rPr>
        <w:t>Il convient de constater dans le résultat de la période une « non consommation » de charge pour 900€.</w:t>
      </w:r>
    </w:p>
    <w:p>
      <w:pPr>
        <w:spacing w:before="0" w:after="180" w:line="264" w:lineRule="auto"/>
        <w:ind w:firstLine="340"/>
        <w:jc w:val="both"/>
      </w:pPr>
      <w:r>
        <w:rPr>
          <w:rFonts w:ascii="Cambria" w:hAnsi="Cambria"/>
          <w:b w:val="0"/>
          <w:i w:val="0"/>
          <w:color w:val="141A21"/>
          <w:sz w:val="22"/>
        </w:rPr>
        <w:t>L’écriture d’inventaire au 31 décembre sera :</w:t>
      </w:r>
    </w:p>
    <w:p>
      <w:pPr>
        <w:spacing w:before="0" w:after="180" w:line="264" w:lineRule="auto"/>
        <w:ind w:firstLine="340"/>
        <w:jc w:val="both"/>
      </w:pPr>
      <w:r>
        <w:rPr>
          <w:rFonts w:ascii="Cambria" w:hAnsi="Cambria"/>
          <w:b w:val="0"/>
          <w:i w:val="0"/>
          <w:color w:val="141A21"/>
          <w:sz w:val="22"/>
        </w:rPr>
        <w:t>3 stock de bois 603 variation de stock</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900 900</w:t>
      </w:r>
    </w:p>
    <w:p>
      <w:pPr>
        <w:spacing w:before="0" w:after="180" w:line="264" w:lineRule="auto"/>
        <w:ind w:firstLine="340"/>
        <w:jc w:val="both"/>
      </w:pPr>
      <w:r>
        <w:rPr>
          <w:rFonts w:ascii="Cambria" w:hAnsi="Cambria"/>
          <w:b w:val="0"/>
          <w:i w:val="0"/>
          <w:color w:val="141A21"/>
          <w:sz w:val="22"/>
        </w:rPr>
        <w:t>Par cette écriture, nous allons diminuer le résultat puisque nous diminuons le montant des charges et nous constatons une valeur à l’actif par la création du compte de stock.</w:t>
      </w:r>
    </w:p>
    <w:p>
      <w:pPr>
        <w:spacing w:before="0" w:after="180" w:line="264" w:lineRule="auto"/>
        <w:ind w:firstLine="340"/>
        <w:jc w:val="both"/>
      </w:pPr>
      <w:r>
        <w:rPr>
          <w:rFonts w:ascii="Cambria" w:hAnsi="Cambria"/>
          <w:b w:val="0"/>
          <w:i w:val="0"/>
          <w:color w:val="141A21"/>
          <w:sz w:val="22"/>
        </w:rPr>
        <w:t>Si au 31 décembre N+1 le stock de bois à augmenté, c’est qu’une partie des achats de l’exercice N+1 n’a pas été consommé, et s’évalue à 1.100€, nous le constaterons dans notre journal par l’annulation du stock de l’année précédente et la constatation du stock de l’année</w:t>
      </w:r>
    </w:p>
    <w:p>
      <w:pPr>
        <w:spacing w:before="0" w:after="180" w:line="264" w:lineRule="auto"/>
        <w:ind w:firstLine="340"/>
        <w:jc w:val="both"/>
      </w:pPr>
      <w:r>
        <w:rPr>
          <w:rFonts w:ascii="Cambria" w:hAnsi="Cambria"/>
          <w:b w:val="0"/>
          <w:i w:val="0"/>
          <w:color w:val="141A21"/>
          <w:sz w:val="22"/>
        </w:rPr>
        <w:t>Annulation du stock N-1</w:t>
      </w:r>
    </w:p>
    <w:p>
      <w:pPr>
        <w:spacing w:before="0" w:after="180" w:line="264" w:lineRule="auto"/>
        <w:ind w:firstLine="340"/>
        <w:jc w:val="both"/>
      </w:pPr>
      <w:r>
        <w:rPr>
          <w:rFonts w:ascii="Cambria" w:hAnsi="Cambria"/>
          <w:b w:val="0"/>
          <w:i w:val="0"/>
          <w:color w:val="141A21"/>
          <w:sz w:val="22"/>
        </w:rPr>
        <w:t>3 stock de bois 603 variation de stock</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900 900</w:t>
      </w:r>
    </w:p>
    <w:p>
      <w:pPr>
        <w:spacing w:before="0" w:after="180" w:line="264" w:lineRule="auto"/>
        <w:ind w:firstLine="340"/>
        <w:jc w:val="both"/>
      </w:pPr>
      <w:r>
        <w:rPr>
          <w:rFonts w:ascii="Cambria" w:hAnsi="Cambria"/>
          <w:b w:val="0"/>
          <w:i w:val="0"/>
          <w:color w:val="141A21"/>
          <w:sz w:val="22"/>
        </w:rPr>
        <w:t>Constatation du stock N</w:t>
      </w:r>
    </w:p>
    <w:p>
      <w:pPr>
        <w:spacing w:before="0" w:after="180" w:line="264" w:lineRule="auto"/>
        <w:ind w:firstLine="340"/>
        <w:jc w:val="both"/>
      </w:pPr>
      <w:r>
        <w:rPr>
          <w:rFonts w:ascii="Cambria" w:hAnsi="Cambria"/>
          <w:b w:val="0"/>
          <w:i w:val="0"/>
          <w:color w:val="141A21"/>
          <w:sz w:val="22"/>
        </w:rPr>
        <w:t>3 stock de bois 603 variation de stock</w:t>
      </w:r>
    </w:p>
    <w:p>
      <w:pPr>
        <w:spacing w:before="0" w:after="180" w:line="264" w:lineRule="auto"/>
        <w:ind w:firstLine="340"/>
        <w:jc w:val="both"/>
      </w:pPr>
      <w:r>
        <w:rPr>
          <w:rFonts w:ascii="Cambria" w:hAnsi="Cambria"/>
          <w:b w:val="0"/>
          <w:i w:val="0"/>
          <w:color w:val="141A21"/>
          <w:sz w:val="22"/>
        </w:rPr>
        <w:t>Débit crédit débit crédit</w:t>
      </w:r>
    </w:p>
    <w:p>
      <w:pPr>
        <w:spacing w:before="120" w:after="120" w:line="276" w:lineRule="auto"/>
        <w:jc w:val="center"/>
      </w:pPr>
      <w:r>
        <w:rPr>
          <w:rFonts w:ascii="Cambria" w:hAnsi="Cambria"/>
          <w:b w:val="0"/>
          <w:i w:val="0"/>
          <w:color w:val="33312C"/>
          <w:sz w:val="22"/>
        </w:rPr>
        <w:t>1100 1100</w:t>
      </w:r>
    </w:p>
    <w:p>
      <w:pPr>
        <w:spacing w:before="0" w:after="180" w:line="264" w:lineRule="auto"/>
        <w:ind w:firstLine="340"/>
        <w:jc w:val="both"/>
      </w:pPr>
      <w:r>
        <w:rPr>
          <w:rFonts w:ascii="Cambria" w:hAnsi="Cambria"/>
          <w:b w:val="0"/>
          <w:i w:val="0"/>
          <w:color w:val="141A21"/>
          <w:sz w:val="22"/>
        </w:rPr>
        <w:t>De ce fait notre stock au 31 décembre N+1 est bien de 1.100€ et notre variation est de 300€, car le stock a été constitué par 900€ en N et 300€ en N+1.</w:t>
      </w:r>
    </w:p>
    <w:p>
      <w:pPr>
        <w:spacing w:before="0" w:after="180" w:line="264" w:lineRule="auto"/>
        <w:ind w:firstLine="340"/>
        <w:jc w:val="both"/>
      </w:pPr>
      <w:r>
        <w:rPr>
          <w:rFonts w:ascii="Cambria" w:hAnsi="Cambria"/>
          <w:b w:val="0"/>
          <w:i w:val="0"/>
          <w:color w:val="141A21"/>
          <w:sz w:val="22"/>
        </w:rPr>
        <w:t>Si la variation de stock est négative c'est-à-dire que sur l’exercice N l’entreprise à consommée l’ensemble des achats qu’elle a réalisée en N et de la réserve (du stock) de l’année N-1.</w:t>
      </w:r>
    </w:p>
    <w:p>
      <w:pPr>
        <w:spacing w:before="0" w:after="180" w:line="264" w:lineRule="auto"/>
        <w:ind w:firstLine="340"/>
        <w:jc w:val="both"/>
      </w:pPr>
      <w:r>
        <w:rPr>
          <w:rFonts w:ascii="Cambria" w:hAnsi="Cambria"/>
          <w:b w:val="0"/>
          <w:i w:val="0"/>
          <w:color w:val="141A21"/>
          <w:sz w:val="22"/>
        </w:rPr>
        <w:t>Nous avons la même logique avec les produits fabriqués par l’entreprise en année N mais qu’elle n’a pas encore vendus au 31 décembre N, il faut constater un stock.</w:t>
      </w:r>
    </w:p>
    <w:p>
      <w:pPr>
        <w:spacing w:before="0" w:after="180" w:line="264" w:lineRule="auto"/>
        <w:ind w:firstLine="340"/>
        <w:jc w:val="both"/>
      </w:pPr>
      <w:r>
        <w:rPr>
          <w:rFonts w:ascii="Cambria" w:hAnsi="Cambria"/>
          <w:b w:val="0"/>
          <w:i w:val="0"/>
          <w:color w:val="141A21"/>
          <w:sz w:val="22"/>
        </w:rPr>
        <w:t>Tout ce travail prend du temps, c’est pour cela que les entreprises fermaient leur usine ou magasin au public, pour effectuer le travail de comptage et les vérifications nécessaires. En 2019 les entreprises sont pour la plupart capables d’effectuer des inventaires par l’informatique et en temps réel, elles ne ferment plus l’accès au public pour réaliser ces travaux.</w:t>
      </w:r>
    </w:p>
    <w:p>
      <w:pPr>
        <w:pStyle w:val="Heading3"/>
        <w:spacing w:before="400" w:after="100" w:line="276" w:lineRule="auto"/>
      </w:pPr>
      <w:r>
        <w:rPr>
          <w:rFonts w:ascii="Calibri" w:hAnsi="Calibri"/>
          <w:b/>
          <w:i w:val="0"/>
          <w:color w:val="141A21"/>
          <w:sz w:val="27"/>
        </w:rPr>
        <w:t>La TVA</w:t>
      </w:r>
    </w:p>
    <w:p>
      <w:pPr>
        <w:spacing w:before="0" w:after="180" w:line="264" w:lineRule="auto"/>
        <w:jc w:val="both"/>
      </w:pPr>
      <w:r>
        <w:rPr>
          <w:rFonts w:ascii="Cambria" w:hAnsi="Cambria"/>
          <w:b w:val="0"/>
          <w:i w:val="0"/>
          <w:color w:val="141A21"/>
          <w:sz w:val="22"/>
        </w:rPr>
        <w:t>Je vais sciemment vous parler de la TVA dans cette partie de l’ouvrage et non dans la fiscalité, car la taxe sur la valeur ajoutée, même si elle est l’impôt sur la consommation qui génère et de loin le plus de recettes pour l’Etat, environ 35% en 2010, elle a également des impacts dans la comptabilité.</w:t>
      </w:r>
    </w:p>
    <w:p>
      <w:pPr>
        <w:spacing w:before="0" w:after="180" w:line="264" w:lineRule="auto"/>
        <w:ind w:firstLine="340"/>
        <w:jc w:val="both"/>
      </w:pPr>
      <w:r>
        <w:rPr>
          <w:rFonts w:ascii="Cambria" w:hAnsi="Cambria"/>
          <w:b w:val="0"/>
          <w:i w:val="0"/>
          <w:color w:val="141A21"/>
          <w:sz w:val="22"/>
        </w:rPr>
        <w:t>Tous d’abord elle est supportée par le consommateur final donc la plupart du temps un particulier.</w:t>
      </w:r>
    </w:p>
    <w:p>
      <w:pPr>
        <w:spacing w:before="0" w:after="180" w:line="264" w:lineRule="auto"/>
        <w:ind w:firstLine="340"/>
        <w:jc w:val="both"/>
      </w:pPr>
      <w:r>
        <w:rPr>
          <w:rFonts w:ascii="Cambria" w:hAnsi="Cambria"/>
          <w:b w:val="0"/>
          <w:i w:val="0"/>
          <w:color w:val="141A21"/>
          <w:sz w:val="22"/>
        </w:rPr>
        <w:t>L’entreprise joue un rôle de collecteur d’impôts pour l’Etat. Elle encaisse la TVA payé par ses clients, on dit qu’elle collecte, et paye de la TVA, la plupart du temps, sur les prestations ou les marchandises qu’elle consomme et bénéficie d’un droit à déduction de cette TVA payée puisqu’elle n’est pas le consommateur final.</w:t>
      </w:r>
    </w:p>
    <w:p>
      <w:pPr>
        <w:spacing w:before="0" w:after="180" w:line="264" w:lineRule="auto"/>
        <w:ind w:firstLine="340"/>
        <w:jc w:val="both"/>
      </w:pPr>
      <w:r>
        <w:rPr>
          <w:rFonts w:ascii="Cambria" w:hAnsi="Cambria"/>
          <w:b w:val="0"/>
          <w:i w:val="0"/>
          <w:color w:val="141A21"/>
          <w:sz w:val="22"/>
        </w:rPr>
        <w:t>L’entreprise effectue périodiquement, soit chaque mois si elle est soumise au régime normal ou annuellement si elle est soumise au régime simplifié d’imposition, une déclaration de TVA indiquant le montant de la TVA qu’elle a collectée pour l’Etat et le montant de a TVA qu’elle a payée et dont elle peut demander le remboursement. Cette déclaration de TVA de reverser le solde à l’Etat si la TVA collectée est supérieur à la déductible, ou demander un remboursement à l’Administration dans le cas ou le solde est négatif. Je en vais pas entrer dans les problématiques de TVA intracommunautaire dans le cas ou les entreprises achètent ou vendent dans les pays européens, dans les problématiques d’auto-liquidation de la TVA dans le bâtiment et la sous-traitance, mais sachez que la collecte de cette taxe est très regardé par l’Administration car c’est une des taxe les plus spolié par les fraudeurs et que cela a un impact de plusieurs milliards d’euros sur les recettes de l’Etat ; Louis de Funès étant un rigolo dans la folie des grandeurs.</w:t>
      </w:r>
    </w:p>
    <w:p>
      <w:pPr>
        <w:spacing w:before="0" w:after="180" w:line="264" w:lineRule="auto"/>
        <w:ind w:firstLine="340"/>
        <w:jc w:val="both"/>
      </w:pPr>
      <w:r>
        <w:rPr>
          <w:rFonts w:ascii="Cambria" w:hAnsi="Cambria"/>
          <w:b w:val="0"/>
          <w:i w:val="0"/>
          <w:color w:val="141A21"/>
          <w:sz w:val="22"/>
        </w:rPr>
        <w:t>Néanmoins il faut savoir 2 ou 3 choses sur cette TVA. Elle comporte plusieurs taux qui sont fixés par la loi de finance donc les taux peuvent changés tous les ans.</w:t>
      </w:r>
    </w:p>
    <w:p>
      <w:pPr>
        <w:spacing w:before="0" w:after="180" w:line="264" w:lineRule="auto"/>
        <w:ind w:firstLine="340"/>
        <w:jc w:val="both"/>
      </w:pPr>
      <w:r>
        <w:rPr>
          <w:rFonts w:ascii="Cambria" w:hAnsi="Cambria"/>
          <w:b w:val="0"/>
          <w:i w:val="0"/>
          <w:color w:val="141A21"/>
          <w:sz w:val="22"/>
        </w:rPr>
        <w:t>En 2019 nous pouvons retenir</w:t>
      </w:r>
    </w:p>
    <w:p>
      <w:pPr>
        <w:spacing w:before="0" w:after="180" w:line="264" w:lineRule="auto"/>
        <w:ind w:firstLine="340"/>
        <w:jc w:val="both"/>
      </w:pPr>
      <w:r>
        <w:rPr>
          <w:rFonts w:ascii="Cambria" w:hAnsi="Cambria"/>
          <w:b w:val="0"/>
          <w:i w:val="0"/>
          <w:color w:val="141A21"/>
          <w:sz w:val="22"/>
        </w:rPr>
        <w:t>Le taux normal qui est de 20% et s’applique à tous les biens et services qui ne seraient pas assujettis à un taux spécifiques ;</w:t>
      </w:r>
    </w:p>
    <w:p>
      <w:pPr>
        <w:spacing w:before="0" w:after="180" w:line="264" w:lineRule="auto"/>
        <w:ind w:firstLine="340"/>
        <w:jc w:val="both"/>
      </w:pPr>
      <w:r>
        <w:rPr>
          <w:rFonts w:ascii="Cambria" w:hAnsi="Cambria"/>
          <w:b w:val="0"/>
          <w:i w:val="0"/>
          <w:color w:val="141A21"/>
          <w:sz w:val="22"/>
        </w:rPr>
        <w:t>Le taux réduit qui est de 5,5% et s’applique à l’alimentation, livres, spectacles, transport de voyageurs, etc.</w:t>
      </w:r>
    </w:p>
    <w:p>
      <w:pPr>
        <w:spacing w:before="0" w:after="180" w:line="264" w:lineRule="auto"/>
        <w:ind w:firstLine="340"/>
        <w:jc w:val="both"/>
      </w:pPr>
      <w:r>
        <w:rPr>
          <w:rFonts w:ascii="Cambria" w:hAnsi="Cambria"/>
          <w:b w:val="0"/>
          <w:i w:val="0"/>
          <w:color w:val="141A21"/>
          <w:sz w:val="22"/>
        </w:rPr>
        <w:t>Attention néanmoins car l’Administration a déterminé que la TVA ne pouvait pas être déduite même si l’entreprise y était assujettie comme celle grevant les voiture de tourisme même si elles sont affectées à des collaborateurs dans l’exercice de leur fonction et même si des avantages en nature sont constatés. De ce fait comme vu précédemment l’acquisition de ce genre de véhicules sera enregistré dans un compte d’immobilisation de classe 2 mais pour sa valeur TTC.</w:t>
      </w:r>
    </w:p>
    <w:p>
      <w:r>
        <w:br w:type="page"/>
      </w:r>
    </w:p>
    <w:p>
      <w:pPr>
        <w:pStyle w:val="Heading2"/>
        <w:spacing w:before="240" w:after="200" w:line="276" w:lineRule="auto"/>
      </w:pPr>
      <w:r>
        <w:rPr>
          <w:rFonts w:ascii="Calibri" w:hAnsi="Calibri"/>
          <w:b/>
          <w:i w:val="0"/>
          <w:color w:val="2F6D5F"/>
          <w:sz w:val="36"/>
        </w:rPr>
        <w:t>Chapitre 3 — Lire, analyser et exploiter sa comptabilité</w:t>
      </w:r>
    </w:p>
    <w:p>
      <w:pPr>
        <w:spacing w:before="0" w:after="180" w:line="264" w:lineRule="auto"/>
        <w:jc w:val="both"/>
      </w:pPr>
      <w:r>
        <w:rPr>
          <w:rFonts w:ascii="Cambria" w:hAnsi="Cambria"/>
          <w:b w:val="0"/>
          <w:i w:val="0"/>
          <w:color w:val="141A21"/>
          <w:sz w:val="22"/>
        </w:rPr>
        <w:t>Même si vous ne savez pas réaliser votre comptabilité et que vous mandatez un expert-comptable pour la réaliser, vous devez savoir lire les documents de synthèse comme le bilan et le compte de résultat afin d’orienter votre stratégie d’ENTREPRENEUR, ou tout du moins dans les grandes lignes.</w:t>
      </w:r>
    </w:p>
    <w:p>
      <w:pPr>
        <w:pStyle w:val="Heading3"/>
        <w:spacing w:before="400" w:after="100" w:line="276" w:lineRule="auto"/>
      </w:pPr>
      <w:r>
        <w:rPr>
          <w:rFonts w:ascii="Calibri" w:hAnsi="Calibri"/>
          <w:b/>
          <w:i w:val="0"/>
          <w:color w:val="141A21"/>
          <w:sz w:val="27"/>
        </w:rPr>
        <w:t>La structure du bilan et du compte de résultat</w:t>
      </w:r>
    </w:p>
    <w:p>
      <w:pPr>
        <w:spacing w:before="0" w:after="180" w:line="264" w:lineRule="auto"/>
        <w:jc w:val="both"/>
      </w:pPr>
      <w:r>
        <w:rPr>
          <w:rFonts w:ascii="Cambria" w:hAnsi="Cambria"/>
          <w:b w:val="0"/>
          <w:i w:val="0"/>
          <w:color w:val="141A21"/>
          <w:sz w:val="22"/>
        </w:rPr>
        <w:t>Dans le bilan et le résultat les comptes sont regroupés par poste par respect du Plan Comptable Général. Par exemple, le poste « autres charges externes » du résultat va regrouper tous les comptes 61 « services extérieurs » à 62 « autres services extérieurs ».</w:t>
      </w:r>
    </w:p>
    <w:p>
      <w:pPr>
        <w:spacing w:before="0" w:after="180" w:line="264" w:lineRule="auto"/>
        <w:ind w:firstLine="340"/>
        <w:jc w:val="both"/>
      </w:pPr>
      <w:r>
        <w:rPr>
          <w:rFonts w:ascii="Cambria" w:hAnsi="Cambria"/>
          <w:b w:val="0"/>
          <w:i w:val="0"/>
          <w:color w:val="141A21"/>
          <w:sz w:val="22"/>
        </w:rPr>
        <w:t>Le résultat se décompose en 3 résultats différents qui en se regroupant détermine le résultat de l’entreprise dit économique :</w:t>
      </w:r>
    </w:p>
    <w:p>
      <w:pPr>
        <w:spacing w:before="0" w:after="180" w:line="264" w:lineRule="auto"/>
        <w:ind w:firstLine="340"/>
        <w:jc w:val="both"/>
      </w:pPr>
      <w:r>
        <w:rPr>
          <w:rFonts w:ascii="Cambria" w:hAnsi="Cambria"/>
          <w:b w:val="0"/>
          <w:i w:val="0"/>
          <w:color w:val="141A21"/>
          <w:sz w:val="22"/>
        </w:rPr>
        <w:t>Le résultat d’exploitation qui retient les comptes de PRODUITS (de 70 à 75, 781 et 791) présentés au crédit du compte de résultat auxquels ont déduits les comptes de CHARGES (de 60 à 65 et 681) ;</w:t>
      </w:r>
    </w:p>
    <w:p>
      <w:pPr>
        <w:spacing w:before="0" w:after="180" w:line="264" w:lineRule="auto"/>
        <w:ind w:firstLine="340"/>
        <w:jc w:val="both"/>
      </w:pPr>
      <w:r>
        <w:rPr>
          <w:rFonts w:ascii="Cambria" w:hAnsi="Cambria"/>
          <w:b w:val="0"/>
          <w:i w:val="0"/>
          <w:color w:val="141A21"/>
          <w:sz w:val="22"/>
        </w:rPr>
        <w:t>Le résultat financier qui retient les comptes de PRODUITS (76 et 786) présentés au crédit du compte de résultat auxquels ont déduits les comptes de CHARGES (66 et 686) ;</w:t>
      </w:r>
    </w:p>
    <w:p>
      <w:pPr>
        <w:spacing w:before="0" w:after="180" w:line="264" w:lineRule="auto"/>
        <w:ind w:firstLine="340"/>
        <w:jc w:val="both"/>
      </w:pPr>
      <w:r>
        <w:rPr>
          <w:rFonts w:ascii="Cambria" w:hAnsi="Cambria"/>
          <w:b w:val="0"/>
          <w:i w:val="0"/>
          <w:color w:val="141A21"/>
          <w:sz w:val="22"/>
        </w:rPr>
        <w:t>Le résultat exceptionnel qui retient les comptes de PRODUITS (77 et 787) présentés au crédit du compte de résultat auxquels ont déduits les comptes de CHARGES (67 et 687) ;</w:t>
      </w:r>
    </w:p>
    <w:p>
      <w:pPr>
        <w:spacing w:before="0" w:after="180" w:line="264" w:lineRule="auto"/>
        <w:ind w:firstLine="340"/>
        <w:jc w:val="both"/>
      </w:pPr>
      <w:r>
        <w:rPr>
          <w:rFonts w:ascii="Cambria" w:hAnsi="Cambria"/>
          <w:b w:val="0"/>
          <w:i w:val="0"/>
          <w:color w:val="141A21"/>
          <w:sz w:val="22"/>
        </w:rPr>
        <w:t>Ce résultat est enregistré dans le compte 120 s’il est bénéficiaire et 129 s’il est déficitaire.</w:t>
      </w:r>
    </w:p>
    <w:p>
      <w:pPr>
        <w:spacing w:before="0" w:after="180" w:line="264" w:lineRule="auto"/>
        <w:ind w:firstLine="340"/>
        <w:jc w:val="both"/>
      </w:pPr>
      <w:r>
        <w:rPr>
          <w:rFonts w:ascii="Cambria" w:hAnsi="Cambria"/>
          <w:b w:val="0"/>
          <w:i w:val="0"/>
          <w:color w:val="141A21"/>
          <w:sz w:val="22"/>
        </w:rPr>
        <w:t>Le bilan se décompose en plusieurs postes principaux :</w:t>
      </w:r>
    </w:p>
    <w:p>
      <w:pPr>
        <w:spacing w:before="0" w:after="180" w:line="264" w:lineRule="auto"/>
        <w:ind w:firstLine="340"/>
        <w:jc w:val="both"/>
      </w:pPr>
      <w:r>
        <w:rPr>
          <w:rFonts w:ascii="Cambria" w:hAnsi="Cambria"/>
          <w:b w:val="0"/>
          <w:i w:val="0"/>
          <w:color w:val="141A21"/>
          <w:sz w:val="22"/>
        </w:rPr>
        <w:t>Au débit donc à l’actif on trouve :</w:t>
      </w:r>
    </w:p>
    <w:p>
      <w:pPr>
        <w:spacing w:before="0" w:after="180" w:line="264" w:lineRule="auto"/>
        <w:ind w:firstLine="340"/>
        <w:jc w:val="both"/>
      </w:pPr>
      <w:r>
        <w:rPr>
          <w:rFonts w:ascii="Cambria" w:hAnsi="Cambria"/>
          <w:b w:val="0"/>
          <w:i w:val="0"/>
          <w:color w:val="141A21"/>
          <w:sz w:val="22"/>
        </w:rPr>
        <w:t>L’actif immobilisé qui comprend les comptes de classe 2 ;</w:t>
      </w:r>
    </w:p>
    <w:p>
      <w:pPr>
        <w:spacing w:before="0" w:after="180" w:line="264" w:lineRule="auto"/>
        <w:ind w:firstLine="340"/>
        <w:jc w:val="both"/>
      </w:pPr>
      <w:r>
        <w:rPr>
          <w:rFonts w:ascii="Cambria" w:hAnsi="Cambria"/>
          <w:b w:val="0"/>
          <w:i w:val="0"/>
          <w:color w:val="141A21"/>
          <w:sz w:val="22"/>
        </w:rPr>
        <w:t>L’actif circulant qui comprend les comptes de stocks (classe 3), les tiers comme les clients (classe 4) et la trésorerie positive (classe 5)</w:t>
      </w:r>
    </w:p>
    <w:p>
      <w:pPr>
        <w:spacing w:before="0" w:after="180" w:line="264" w:lineRule="auto"/>
        <w:ind w:firstLine="340"/>
        <w:jc w:val="both"/>
      </w:pPr>
      <w:r>
        <w:rPr>
          <w:rFonts w:ascii="Cambria" w:hAnsi="Cambria"/>
          <w:b w:val="0"/>
          <w:i w:val="0"/>
          <w:color w:val="141A21"/>
          <w:sz w:val="22"/>
        </w:rPr>
        <w:t>Au crédit donc au passif on trouve :</w:t>
      </w:r>
    </w:p>
    <w:p>
      <w:pPr>
        <w:spacing w:before="0" w:after="180" w:line="264" w:lineRule="auto"/>
        <w:ind w:firstLine="340"/>
        <w:jc w:val="both"/>
      </w:pPr>
      <w:r>
        <w:rPr>
          <w:rFonts w:ascii="Cambria" w:hAnsi="Cambria"/>
          <w:b w:val="0"/>
          <w:i w:val="0"/>
          <w:color w:val="141A21"/>
          <w:sz w:val="22"/>
        </w:rPr>
        <w:t>Les capitaux propres (classe 1) qui comprennent le capital social, les réserves ;</w:t>
      </w:r>
    </w:p>
    <w:p>
      <w:pPr>
        <w:spacing w:before="0" w:after="180" w:line="264" w:lineRule="auto"/>
        <w:ind w:firstLine="340"/>
        <w:jc w:val="both"/>
      </w:pPr>
      <w:r>
        <w:rPr>
          <w:rFonts w:ascii="Cambria" w:hAnsi="Cambria"/>
          <w:b w:val="0"/>
          <w:i w:val="0"/>
          <w:color w:val="141A21"/>
          <w:sz w:val="22"/>
        </w:rPr>
        <w:t>Les provisions pour risques et charges (classe 1) ;</w:t>
      </w:r>
    </w:p>
    <w:p>
      <w:pPr>
        <w:spacing w:before="0" w:after="180" w:line="264" w:lineRule="auto"/>
        <w:ind w:firstLine="340"/>
        <w:jc w:val="both"/>
      </w:pPr>
      <w:r>
        <w:rPr>
          <w:rFonts w:ascii="Cambria" w:hAnsi="Cambria"/>
          <w:b w:val="0"/>
          <w:i w:val="0"/>
          <w:color w:val="141A21"/>
          <w:sz w:val="22"/>
        </w:rPr>
        <w:t>Les dettes reprenant les emprunts auprès des établissements de crédit (classe 1 ou classe 5 en cas de découvert bancaire) et les tiers comme les fournisseurs (classe 4).</w:t>
      </w:r>
    </w:p>
    <w:p>
      <w:pPr>
        <w:spacing w:before="0" w:after="180" w:line="264" w:lineRule="auto"/>
        <w:ind w:firstLine="340"/>
        <w:jc w:val="both"/>
      </w:pPr>
      <w:r>
        <w:rPr>
          <w:rFonts w:ascii="Cambria" w:hAnsi="Cambria"/>
          <w:b w:val="0"/>
          <w:i w:val="0"/>
          <w:color w:val="141A21"/>
          <w:sz w:val="22"/>
        </w:rPr>
        <w:t>Le bilan donne une image patrimoniale de l’entreprise, il détermine la valeur de l’entreprise.</w:t>
      </w:r>
    </w:p>
    <w:p>
      <w:pPr>
        <w:spacing w:before="0" w:after="180" w:line="264" w:lineRule="auto"/>
        <w:ind w:firstLine="340"/>
        <w:jc w:val="both"/>
      </w:pPr>
      <w:r>
        <w:rPr>
          <w:rFonts w:ascii="Cambria" w:hAnsi="Cambria"/>
          <w:b w:val="0"/>
          <w:i w:val="0"/>
          <w:color w:val="141A21"/>
          <w:sz w:val="22"/>
        </w:rPr>
        <w:t>Il peut également être analysé d’un point de vue fonctionnel pour le décideur afin d’anticiper les besoins en financement de l’entreprise, on l’appelle le bilan fonctionnel. Il est composé de 3 fonctions :</w:t>
      </w:r>
    </w:p>
    <w:p>
      <w:pPr>
        <w:spacing w:before="0" w:after="180" w:line="264" w:lineRule="auto"/>
        <w:ind w:firstLine="340"/>
        <w:jc w:val="both"/>
      </w:pPr>
      <w:r>
        <w:rPr>
          <w:rFonts w:ascii="Cambria" w:hAnsi="Cambria"/>
          <w:b w:val="0"/>
          <w:i w:val="0"/>
          <w:color w:val="141A21"/>
          <w:sz w:val="22"/>
        </w:rPr>
        <w:t>Investissement et financement, souvent appelé « le haut du bilan », pour financer les actifs durables avec du passif stable (les capitaux propres + amortissement et provisions + dettes financières) ;</w:t>
      </w:r>
    </w:p>
    <w:p>
      <w:pPr>
        <w:spacing w:before="0" w:after="180" w:line="264" w:lineRule="auto"/>
        <w:ind w:firstLine="340"/>
        <w:jc w:val="both"/>
      </w:pPr>
      <w:r>
        <w:rPr>
          <w:rFonts w:ascii="Cambria" w:hAnsi="Cambria"/>
          <w:b w:val="0"/>
          <w:i w:val="0"/>
          <w:color w:val="141A21"/>
          <w:sz w:val="22"/>
        </w:rPr>
        <w:t>Cyclique, qui est lié à l’exploitation qui fiance l’actif circulant par le passif circulant et les dettes non financières ;</w:t>
      </w:r>
    </w:p>
    <w:p>
      <w:pPr>
        <w:spacing w:before="0" w:after="180" w:line="264" w:lineRule="auto"/>
        <w:ind w:firstLine="340"/>
        <w:jc w:val="both"/>
      </w:pPr>
      <w:r>
        <w:rPr>
          <w:rFonts w:ascii="Cambria" w:hAnsi="Cambria"/>
          <w:b w:val="0"/>
          <w:i w:val="0"/>
          <w:color w:val="141A21"/>
          <w:sz w:val="22"/>
        </w:rPr>
        <w:t>Trésorerie, qui est déterminé par l’actif et le passif de trésorerie.</w:t>
      </w:r>
    </w:p>
    <w:p>
      <w:pPr>
        <w:spacing w:before="0" w:after="180" w:line="264" w:lineRule="auto"/>
        <w:ind w:firstLine="340"/>
        <w:jc w:val="both"/>
      </w:pPr>
      <w:r>
        <w:rPr>
          <w:rFonts w:ascii="Cambria" w:hAnsi="Cambria"/>
          <w:b w:val="0"/>
          <w:i w:val="0"/>
          <w:color w:val="141A21"/>
          <w:sz w:val="22"/>
        </w:rPr>
        <w:t>Concernant les dettes financières il convient de les analyser dans leur durée car la plupart du temps l’effet temporis attenue la situation. En effet on pourrait être impressionné par le montant des dettes d’une société par rapport à son chiffre d’affaires. Mais si nous analysons plus précisément on constate que cette dette a une échéance étalée dans le temps et que de ce fait le résultat dégagé chaque année permet de régler l’échéance annuelle de cette dette, donc pas problème. Néanmoins l’endettement doit être maitrisé car comme dit le diction « on ne sait pas ce que l’avenir nous réserve ».</w:t>
      </w:r>
    </w:p>
    <w:p>
      <w:pPr>
        <w:pStyle w:val="Heading3"/>
        <w:spacing w:before="400" w:after="100" w:line="276" w:lineRule="auto"/>
      </w:pPr>
      <w:r>
        <w:rPr>
          <w:rFonts w:ascii="Calibri" w:hAnsi="Calibri"/>
          <w:b/>
          <w:i w:val="0"/>
          <w:color w:val="141A21"/>
          <w:sz w:val="27"/>
        </w:rPr>
        <w:t>Lire ses états financiers avec discernement</w:t>
      </w:r>
    </w:p>
    <w:p>
      <w:pPr>
        <w:spacing w:before="0" w:after="180" w:line="264" w:lineRule="auto"/>
        <w:jc w:val="both"/>
      </w:pPr>
      <w:r>
        <w:rPr>
          <w:rFonts w:ascii="Cambria" w:hAnsi="Cambria"/>
          <w:b w:val="0"/>
          <w:i w:val="0"/>
          <w:color w:val="141A21"/>
          <w:sz w:val="22"/>
        </w:rPr>
        <w:t>Maintenant que nous savons « construire » les états de synthèses, apprenons à les lire car parfois cela est une image trompeuse. J’ai souvent entendu dire pendant ma période professionnelle en expertise comptable, des clients insinués « mais vous pouvez faire dire ce que vous voulez aux chiffres ». Ce n’est pas vrai !!!!</w:t>
      </w:r>
    </w:p>
    <w:p>
      <w:pPr>
        <w:spacing w:before="0" w:after="180" w:line="264" w:lineRule="auto"/>
        <w:ind w:firstLine="340"/>
        <w:jc w:val="both"/>
      </w:pPr>
      <w:r>
        <w:rPr>
          <w:rFonts w:ascii="Cambria" w:hAnsi="Cambria"/>
          <w:b w:val="0"/>
          <w:i w:val="0"/>
          <w:color w:val="141A21"/>
          <w:sz w:val="22"/>
        </w:rPr>
        <w:t>Les chiffres sont les chiffres, je ne vais pas polémiquer sur le fait que parfois j’étais à peu prés certain que certains de mes clients ne me donnait pas la « vraie » valeur de leur stock afin d’influencer le compte de résultat mais il et possible également d’influencer ce résultat par des décisions de gestion nous l’avons vu précédemment. Reprenons l’exemple de la durée d’amortissement d’un bien acquis. La durée d’utilisation est bien de 6 ans et vous décidez d’amortir le bien sur 4 ans, vous allez créer plus de charge annuelle et donc diminuer votre résultat et la plupart du temps diminuer votre impôt. C’est pour cela que l’Administration veille au grain.</w:t>
      </w:r>
    </w:p>
    <w:p>
      <w:pPr>
        <w:spacing w:before="0" w:after="180" w:line="264" w:lineRule="auto"/>
        <w:ind w:firstLine="340"/>
        <w:jc w:val="both"/>
      </w:pPr>
      <w:r>
        <w:rPr>
          <w:rFonts w:ascii="Cambria" w:hAnsi="Cambria"/>
          <w:b w:val="0"/>
          <w:i w:val="0"/>
          <w:color w:val="141A21"/>
          <w:sz w:val="22"/>
        </w:rPr>
        <w:t>Mais parfois l’organisation capitalistique est faite de telle manière que cela pourrait être fait exprès. Prenez l’exemple de groupe de sociétés dont le holding possède ses entités dans plusieurs pays et les fait travailler les unes pour les autres. Parfois les prix sont déterminés en fonction de la fiscalité. Une entité géo localisée dans un pays à faible imposition aura tendance à facturer les filiales du groupe à un prix au dessus du marché afin d’augmenter son résultat imposable à un taux faible et à faire créer une charge importante venant diminuer le résultat imposable à une filiale imposée lourdement. Ce mécanisme est très bien exposé dans le film « mille milliard de dollars » avec patrick devers.</w:t>
      </w:r>
    </w:p>
    <w:p>
      <w:pPr>
        <w:spacing w:before="0" w:after="180" w:line="264" w:lineRule="auto"/>
        <w:ind w:firstLine="340"/>
        <w:jc w:val="both"/>
      </w:pPr>
      <w:r>
        <w:rPr>
          <w:rFonts w:ascii="Cambria" w:hAnsi="Cambria"/>
          <w:b w:val="0"/>
          <w:i w:val="0"/>
          <w:color w:val="141A21"/>
          <w:sz w:val="22"/>
        </w:rPr>
        <w:t>Il faut aller regarder plusieurs points y compris pour le chef d’entreprise pour pourrait se laisser entrainer dans une analyse biaisée. Toujours par expérience je rentrai des entrepreneurs qui me soutenaient que leur entreprise se portait à merveille puisque la trésorerie était positive. L’analyse du bilan pouvait démontrer une situation difficile car le montant des dettes enregistrées était supérieur au dus clients enregistrés. L’entreprise était en état de cessation de paiement, c'est-à-dire que son actif disponible ne permet pas de faire face à son passif exigible. Et encore ca c’est rapide à constater mais parfois certains entrepreneurs novices ne pensent pas à anticiper les charges à venir (comme les charges sociales ou l’impôt société) et dépensent la trésorerie et lorsque les charges arrivent les caisses sont vides.</w:t>
      </w:r>
    </w:p>
    <w:p>
      <w:pPr>
        <w:spacing w:before="0" w:after="180" w:line="264" w:lineRule="auto"/>
        <w:ind w:firstLine="340"/>
        <w:jc w:val="both"/>
      </w:pPr>
      <w:r>
        <w:rPr>
          <w:rFonts w:ascii="Cambria" w:hAnsi="Cambria"/>
          <w:b w:val="0"/>
          <w:i w:val="0"/>
          <w:color w:val="141A21"/>
          <w:sz w:val="22"/>
        </w:rPr>
        <w:t>Le résultat mesure l’augmentation du patrimoine mais il est également à fixer dans le temps. En effet lorsque le résultat est connu soit 3 mois au plus après la date de clôture, le bénéfice est peut être déjà consommé par des achats réalisés en début d’année suivante. La trésorerie n’étant peut être plus disponible à la date de détermination du résultat ; encore pire lors de la présentation de ce résultat aux associés lors de l’assemblée générale qui se tient au mieux dans les 6 mois de la clôture de l’exercice.</w:t>
      </w:r>
    </w:p>
    <w:p>
      <w:pPr>
        <w:spacing w:before="0" w:after="180" w:line="264" w:lineRule="auto"/>
        <w:ind w:firstLine="340"/>
        <w:jc w:val="both"/>
      </w:pPr>
      <w:r>
        <w:rPr>
          <w:rFonts w:ascii="Cambria" w:hAnsi="Cambria"/>
          <w:b w:val="0"/>
          <w:i w:val="0"/>
          <w:color w:val="141A21"/>
          <w:sz w:val="22"/>
        </w:rPr>
        <w:t>Il se peut donc qu’une société est réalisé un résultat net d’impôt de 10.000€ au 31 décembre N.</w:t>
      </w:r>
    </w:p>
    <w:p>
      <w:pPr>
        <w:spacing w:before="0" w:after="180" w:line="264" w:lineRule="auto"/>
        <w:ind w:firstLine="340"/>
        <w:jc w:val="both"/>
      </w:pPr>
      <w:r>
        <w:rPr>
          <w:rFonts w:ascii="Cambria" w:hAnsi="Cambria"/>
          <w:b w:val="0"/>
          <w:i w:val="0"/>
          <w:color w:val="141A21"/>
          <w:sz w:val="22"/>
        </w:rPr>
        <w:t>Au 15 février N +1 elle fait l’acquisition d’un bien en le finançant cash pour 7.000€.</w:t>
      </w:r>
    </w:p>
    <w:p>
      <w:pPr>
        <w:spacing w:before="0" w:after="180" w:line="264" w:lineRule="auto"/>
        <w:ind w:firstLine="340"/>
        <w:jc w:val="both"/>
      </w:pPr>
      <w:r>
        <w:rPr>
          <w:rFonts w:ascii="Cambria" w:hAnsi="Cambria"/>
          <w:b w:val="0"/>
          <w:i w:val="0"/>
          <w:color w:val="141A21"/>
          <w:sz w:val="22"/>
        </w:rPr>
        <w:t>Au 20 juin N+1 l’assemblée des associés se réunie pour approuver les comptes. Lors de cette réunion les associés ont plusieurs possibilités pour affecter ce résultat de 10K€. Ils peuvent décider de laisser à la disposition de la société une certaine somme afin d’envisager des investissements futurs ou de constituer une cagnotte en cas de coup dur, on indique que la société constitue une réserve. Ils peuvent également décider de rémunérer le capital investit en versant un dividende aux associés. Le montant global peut être de 10.000€ mais il convient de définir la trésorerie à la date de l’assemblée afin que les associés ne décident pas une distribution de dividende qui soit supérieur à la trésorerie disponible.</w:t>
      </w:r>
    </w:p>
    <w:p>
      <w:pPr>
        <w:pStyle w:val="Heading3"/>
        <w:spacing w:before="400" w:after="100" w:line="276" w:lineRule="auto"/>
      </w:pPr>
      <w:r>
        <w:rPr>
          <w:rFonts w:ascii="Calibri" w:hAnsi="Calibri"/>
          <w:b/>
          <w:i w:val="0"/>
          <w:color w:val="141A21"/>
          <w:sz w:val="27"/>
        </w:rPr>
        <w:t>L'analyse par les soldes intermédiaires de gestion</w:t>
      </w:r>
    </w:p>
    <w:p>
      <w:pPr>
        <w:spacing w:before="0" w:after="180" w:line="264" w:lineRule="auto"/>
        <w:jc w:val="both"/>
      </w:pPr>
      <w:r>
        <w:rPr>
          <w:rFonts w:ascii="Cambria" w:hAnsi="Cambria"/>
          <w:b w:val="0"/>
          <w:i w:val="0"/>
          <w:color w:val="141A21"/>
          <w:sz w:val="22"/>
        </w:rPr>
        <w:t>J’aime bien pour ma part faire une analyse d’une entreprise par les Soldes Intermédiaires de Gestion, appelé SIG.je trouve cette analyse plus précise car elle détermine la « marge commerciale » pour les entreprises de négoce et de distribution et la « production » pour les entreprises qui crée leur produit.</w:t>
      </w:r>
    </w:p>
    <w:p>
      <w:pPr>
        <w:spacing w:before="0" w:after="180" w:line="264" w:lineRule="auto"/>
        <w:ind w:firstLine="340"/>
        <w:jc w:val="both"/>
      </w:pPr>
      <w:r>
        <w:rPr>
          <w:rFonts w:ascii="Cambria" w:hAnsi="Cambria"/>
          <w:b w:val="0"/>
          <w:i w:val="0"/>
          <w:color w:val="141A21"/>
          <w:sz w:val="22"/>
        </w:rPr>
        <w:t>L’analyse est plus précise car lorsque vous constatez que votre « marge commerciale » a diminuée par rapport à l’année dernière, le premier réflexe est de se dire je ne vends pas assez cher.</w:t>
      </w:r>
    </w:p>
    <w:p>
      <w:pPr>
        <w:spacing w:before="0" w:after="180" w:line="264" w:lineRule="auto"/>
        <w:ind w:firstLine="340"/>
        <w:jc w:val="both"/>
      </w:pPr>
      <w:r>
        <w:rPr>
          <w:rFonts w:ascii="Cambria" w:hAnsi="Cambria"/>
          <w:b w:val="0"/>
          <w:i w:val="0"/>
          <w:color w:val="141A21"/>
          <w:sz w:val="22"/>
        </w:rPr>
        <w:t>L’analyse raisonnée doit d’abord se dire : mon prix est-il celui du marché ? Le marché a-t-il évolué et les prix sont ils en baissent ? Prenons comme hypothèse que les prix de vente soient constants, nous avons donc comme reflexe de ce dire « j’achète trop cher » et de négocier avec notre fournisseur une remise des prix avec le risque qu’il ne l’accepte pas et arrêté de travailler avec nous. En analysant plus précieusement on peu constater que cela dépend parfois de l’augmentation du prix du carburant indispensable au transport des marchandises. Ne focaliser pas toujours sur le montant des honoraires de votre expert-comptable en lui demandant de baisser ses tarifs, scapez que s’il le fait il mettra moins de ressources à votre disposition pour gerber votre entreprise. Regarder également la masse salariale, ce que vous coutent vos collaborateurs. Je ne dis pas qu’ils sont trop payés mais souvent je constate en faisant cette analyse avec mes clients, qu’ils utilisent des collaborateurs trop compétents (donc plus chers) à des taches inferieurs à leur compétence. Toutes ses analyses doivent vous permettre de bien connaitre votre entreprise et de peaufiner votre stratégie de développement (moyen terme) et votre gestion au quotidien (court terme). Affecter du temps a cette tache ainsi que du budget pour vos partenaires tel votre avocat ou votre expert-comptable qui peuvent vous aider à avancer plus sereinement.</w:t>
      </w:r>
    </w:p>
    <w:p>
      <w:pPr>
        <w:spacing w:before="0" w:after="180" w:line="264" w:lineRule="auto"/>
        <w:ind w:firstLine="340"/>
        <w:jc w:val="both"/>
      </w:pPr>
      <w:r>
        <w:rPr>
          <w:rFonts w:ascii="Cambria" w:hAnsi="Cambria"/>
          <w:b w:val="0"/>
          <w:i w:val="0"/>
          <w:color w:val="141A21"/>
          <w:sz w:val="22"/>
        </w:rPr>
        <w:t>La détermination de la « valeur ajoutée » est primordiale car elle mesure la richesse produite par l’entreprise en prenant en compte l’évolution de la marge ou de la production ainsi que celle des consommations de produits intermédiaires par les quantités consommées et/ou les tarifs, la productivité des collaborateurs. Calculé des ratios en fonction de votre métiers. Pour les restaurants on déterminera la valeur ajoutée en fonction du nombre de couverts servis, pour les coiffeurs en fonction des coupe-broching, pour les avocats en fonction des dossiers ouverts, etc.</w:t>
      </w:r>
    </w:p>
    <w:p>
      <w:pPr>
        <w:spacing w:before="0" w:after="180" w:line="264" w:lineRule="auto"/>
        <w:ind w:firstLine="340"/>
        <w:jc w:val="both"/>
      </w:pPr>
      <w:r>
        <w:rPr>
          <w:rFonts w:ascii="Cambria" w:hAnsi="Cambria"/>
          <w:b w:val="0"/>
          <w:i w:val="0"/>
          <w:color w:val="141A21"/>
          <w:sz w:val="22"/>
        </w:rPr>
        <w:t>Ensuite je travaille le plus souvent sur l’EBE, l’excédent brut d’exploitation, c’est un quasi-résultat qui détermine l’activité normale de l’entreprise car il ne prend pas en compte la politique de financement des actifs car on ne retient pas les charges financières, les incidences de l’impôt société et les opérations exceptionnelles comme la cession de biens. C’est un état brut mais qui représente bien l’activité de l’entreprise et permet de fixer des objectifs.</w:t>
      </w:r>
    </w:p>
    <w:p>
      <w:pPr>
        <w:spacing w:before="0" w:after="180" w:line="264" w:lineRule="auto"/>
        <w:ind w:firstLine="340"/>
        <w:jc w:val="both"/>
      </w:pPr>
      <w:r>
        <w:rPr>
          <w:rFonts w:ascii="Cambria" w:hAnsi="Cambria"/>
          <w:b w:val="0"/>
          <w:i w:val="0"/>
          <w:color w:val="141A21"/>
          <w:sz w:val="22"/>
        </w:rPr>
        <w:t>On peut également ajouter un outil de gestion pour certaines activités comme l’immobilier, c’est la CAF, la capacité d’autofinancement, car elle est déterminée par les produits et les charges réellement passée en trésorerie ; de ce fait elle ne retient pas principalement les dotations et les reprises d’amortissement et de provisions. La CAF est calculée sans prendre en compte les plus ou moins values de cessions d’actifs. Elle permet de savoir si l’entreprise aura la capacité en trésorerie de rembourser ses emprunts annuellement. Notion indispensable pour prévoir un investissement immobilier.</w:t>
      </w:r>
    </w:p>
    <w:p>
      <w:pPr>
        <w:spacing w:before="0" w:after="180" w:line="264" w:lineRule="auto"/>
        <w:ind w:firstLine="340"/>
        <w:jc w:val="both"/>
      </w:pPr>
      <w:r>
        <w:rPr>
          <w:rFonts w:ascii="Cambria" w:hAnsi="Cambria"/>
          <w:b w:val="0"/>
          <w:i w:val="0"/>
          <w:color w:val="141A21"/>
          <w:sz w:val="22"/>
        </w:rPr>
        <w:t>On peut ajouter la notion de fonds de roulement, c’est la partie des ressources stables (capitaux propres et emprunts) qui n’est pas utilisée pour financer l’actif stable (les immobilisations). De ce fait on constate un « matelas de sécurité » qui peut permettre de faire face à un imprévu dans l’exploitation. En immobilier on dit qu’il faut avoir toujours de la trésorerie d’avance pour effectuer des réparations rapidement afin de ne pas bloquer durablement un bien locatif et retrouver un locataire.</w:t>
      </w:r>
    </w:p>
    <w:p>
      <w:pPr>
        <w:pStyle w:val="Heading3"/>
        <w:spacing w:before="400" w:after="100" w:line="276" w:lineRule="auto"/>
      </w:pPr>
      <w:r>
        <w:rPr>
          <w:rFonts w:ascii="Calibri" w:hAnsi="Calibri"/>
          <w:b/>
          <w:i w:val="0"/>
          <w:color w:val="141A21"/>
          <w:sz w:val="27"/>
        </w:rPr>
        <w:t>L'impact de la fiscalité</w:t>
      </w:r>
    </w:p>
    <w:p>
      <w:pPr>
        <w:spacing w:before="0" w:after="180" w:line="264" w:lineRule="auto"/>
        <w:jc w:val="both"/>
      </w:pPr>
      <w:r>
        <w:rPr>
          <w:rFonts w:ascii="Cambria" w:hAnsi="Cambria"/>
          <w:b w:val="0"/>
          <w:i w:val="0"/>
          <w:color w:val="141A21"/>
          <w:sz w:val="22"/>
        </w:rPr>
        <w:t>L’impact de la fiscalité</w:t>
      </w:r>
    </w:p>
    <w:p>
      <w:pPr>
        <w:spacing w:before="0" w:after="180" w:line="264" w:lineRule="auto"/>
        <w:ind w:firstLine="340"/>
        <w:jc w:val="both"/>
      </w:pPr>
      <w:r>
        <w:rPr>
          <w:rFonts w:ascii="Cambria" w:hAnsi="Cambria"/>
          <w:b w:val="0"/>
          <w:i w:val="0"/>
          <w:color w:val="141A21"/>
          <w:sz w:val="22"/>
        </w:rPr>
        <w:t>Avant toute chose la fiscalité est un système de lois relatives à l’administration, Trésor de l’Etat, chargée de la perception de l’impôt.</w:t>
      </w:r>
    </w:p>
    <w:p>
      <w:pPr>
        <w:spacing w:before="0" w:after="180" w:line="264" w:lineRule="auto"/>
        <w:ind w:firstLine="340"/>
        <w:jc w:val="both"/>
      </w:pPr>
      <w:r>
        <w:rPr>
          <w:rFonts w:ascii="Cambria" w:hAnsi="Cambria"/>
          <w:b w:val="0"/>
          <w:i w:val="0"/>
          <w:color w:val="141A21"/>
          <w:sz w:val="22"/>
        </w:rPr>
        <w:t>La plupart du temps pour l’ENTREPRENEUR c’est trop cher. Le nombre de fois où mes clients me demandent : « monsieur LEMAIRE comment faire pour payer zéro d’impôt ?», je leur réponds souvent la même chose : « j’ai n’ai pas de baguette magique, mais nous allons travailler votre stratégie, pour que vous payez ce qui vous semble juste ». compliqué n’est-ce pas, mais c’est ce late motif qui me motive, car la plupart des gens trouvent qu’ils payent trop, les chefs d’entreprises (surtout TPE et PME qui sont les gens que je rencontre le plus souvent même si je rêve de rencontrer Bernard ARNAULT mais je vous en parlerai plus tard) trouvent souvent que les charges sociales les empêchent d’embaucher et les impôts et taxes le empêchent d’investir, il faut rester conscient du système dans lequel on vie en France avec une Sécurité sociale qui mériterait d’être reformée mais qui a le mérite d’exister et une solidarité obligatoire dans un pays comme le notre mais qui devrait gérer très fermement les abus. La crise des gilets jaunes a montré également qu’une autre partie de la population qui n’est pas des ENTREPRENEURS, trouve également que les « ponctions » sont trop lourdes.</w:t>
      </w:r>
    </w:p>
    <w:p>
      <w:pPr>
        <w:spacing w:before="0" w:after="180" w:line="264" w:lineRule="auto"/>
        <w:ind w:firstLine="340"/>
        <w:jc w:val="both"/>
      </w:pPr>
      <w:r>
        <w:rPr>
          <w:rFonts w:ascii="Cambria" w:hAnsi="Cambria"/>
          <w:b w:val="0"/>
          <w:i w:val="0"/>
          <w:color w:val="141A21"/>
          <w:sz w:val="22"/>
        </w:rPr>
        <w:t>Je ne polémiquerai pas avec certains sur l’objet de cette collecte de fonds, l’utilisation première qui est de financer les services publics, mais bon et jeté moi la première pierre, si un ENTREPRENEUR n’a jamais eu de rancœur sur l’utilisation des fonds lorsqu’il a du rédiger son chèque « à l’ordre de l’agent du Trésor Public » ou appuyer sur sa souris pour cliquer sur l’icône VALIDER, lors du paiement de ses impôts.</w:t>
      </w:r>
    </w:p>
    <w:p>
      <w:pPr>
        <w:spacing w:before="0" w:after="180" w:line="264" w:lineRule="auto"/>
        <w:ind w:firstLine="340"/>
        <w:jc w:val="both"/>
      </w:pPr>
      <w:r>
        <w:rPr>
          <w:rFonts w:ascii="Cambria" w:hAnsi="Cambria"/>
          <w:b w:val="0"/>
          <w:i w:val="0"/>
          <w:color w:val="141A21"/>
          <w:sz w:val="22"/>
        </w:rPr>
        <w:t>En fait notre système français est découpé plus particulièrement en 2 systèmes fiscaux :</w:t>
      </w:r>
    </w:p>
    <w:p>
      <w:pPr>
        <w:spacing w:before="0" w:after="180" w:line="264" w:lineRule="auto"/>
        <w:ind w:firstLine="340"/>
        <w:jc w:val="both"/>
      </w:pPr>
      <w:r>
        <w:rPr>
          <w:rFonts w:ascii="Cambria" w:hAnsi="Cambria"/>
          <w:b w:val="0"/>
          <w:i w:val="0"/>
          <w:color w:val="141A21"/>
          <w:sz w:val="22"/>
        </w:rPr>
        <w:t>La fiscalité des particuliers,</w:t>
      </w:r>
    </w:p>
    <w:p>
      <w:pPr>
        <w:spacing w:before="0" w:after="180" w:line="264" w:lineRule="auto"/>
        <w:ind w:firstLine="340"/>
        <w:jc w:val="both"/>
      </w:pPr>
      <w:r>
        <w:rPr>
          <w:rFonts w:ascii="Cambria" w:hAnsi="Cambria"/>
          <w:b w:val="0"/>
          <w:i w:val="0"/>
          <w:color w:val="141A21"/>
          <w:sz w:val="22"/>
        </w:rPr>
        <w:t>La fiscalité des entreprises.</w:t>
      </w:r>
    </w:p>
    <w:p>
      <w:pPr>
        <w:spacing w:before="0" w:after="180" w:line="264" w:lineRule="auto"/>
        <w:ind w:firstLine="340"/>
        <w:jc w:val="both"/>
      </w:pPr>
      <w:r>
        <w:rPr>
          <w:rFonts w:ascii="Cambria" w:hAnsi="Cambria"/>
          <w:b w:val="0"/>
          <w:i w:val="0"/>
          <w:color w:val="141A21"/>
          <w:sz w:val="22"/>
        </w:rPr>
        <w:t>La fiscalité des particuliers est applicable à l’ensemble des citoyens. Chaque « contribuable » établi une déclaration CERFA 2042, qu’il transmet à l’administration fiscale une fois par année, antérieurement sur support papier et depuis l’année 2017, en version numérique. Cette déclaration doit comporter l’ensemble des revenus perçus par chaque personne physique déclarée appartenant au même foyer fiscal.</w:t>
      </w:r>
    </w:p>
    <w:p>
      <w:pPr>
        <w:spacing w:before="0" w:after="180" w:line="264" w:lineRule="auto"/>
        <w:ind w:firstLine="340"/>
        <w:jc w:val="both"/>
      </w:pPr>
      <w:r>
        <w:rPr>
          <w:rFonts w:ascii="Cambria" w:hAnsi="Cambria"/>
          <w:b w:val="0"/>
          <w:i w:val="0"/>
          <w:color w:val="141A21"/>
          <w:sz w:val="22"/>
        </w:rPr>
        <w:t>La fiscalité des entreprises se subdivise en 2 :</w:t>
      </w:r>
    </w:p>
    <w:p>
      <w:pPr>
        <w:spacing w:before="0" w:after="180" w:line="264" w:lineRule="auto"/>
        <w:ind w:firstLine="340"/>
        <w:jc w:val="both"/>
      </w:pPr>
      <w:r>
        <w:rPr>
          <w:rFonts w:ascii="Cambria" w:hAnsi="Cambria"/>
          <w:b w:val="0"/>
          <w:i w:val="0"/>
          <w:color w:val="141A21"/>
          <w:sz w:val="22"/>
        </w:rPr>
        <w:t>La fiscalité relative à l’entrepreneur individuel ;</w:t>
      </w:r>
    </w:p>
    <w:p>
      <w:pPr>
        <w:spacing w:before="0" w:after="180" w:line="264" w:lineRule="auto"/>
        <w:ind w:firstLine="340"/>
        <w:jc w:val="both"/>
      </w:pPr>
      <w:r>
        <w:rPr>
          <w:rFonts w:ascii="Cambria" w:hAnsi="Cambria"/>
          <w:b w:val="0"/>
          <w:i w:val="0"/>
          <w:color w:val="141A21"/>
          <w:sz w:val="22"/>
        </w:rPr>
        <w:t>La fiscalité des sociétés.</w:t>
      </w:r>
    </w:p>
    <w:p>
      <w:pPr>
        <w:pStyle w:val="Heading3"/>
        <w:spacing w:before="400" w:after="100" w:line="276" w:lineRule="auto"/>
      </w:pPr>
      <w:r>
        <w:rPr>
          <w:rFonts w:ascii="Calibri" w:hAnsi="Calibri"/>
          <w:b/>
          <w:i w:val="0"/>
          <w:color w:val="141A21"/>
          <w:sz w:val="27"/>
        </w:rPr>
        <w:t>Choisir et travailler avec son expert-comptable</w:t>
      </w:r>
    </w:p>
    <w:p>
      <w:pPr>
        <w:spacing w:before="0" w:after="180" w:line="264" w:lineRule="auto"/>
        <w:jc w:val="both"/>
      </w:pPr>
      <w:r>
        <w:rPr>
          <w:rFonts w:ascii="Cambria" w:hAnsi="Cambria"/>
          <w:b w:val="0"/>
          <w:i w:val="0"/>
          <w:color w:val="141A21"/>
          <w:sz w:val="22"/>
        </w:rPr>
        <w:t>Les obligations légales</w:t>
      </w:r>
    </w:p>
    <w:p>
      <w:pPr>
        <w:spacing w:before="0" w:after="180" w:line="264" w:lineRule="auto"/>
        <w:ind w:firstLine="340"/>
        <w:jc w:val="both"/>
      </w:pPr>
      <w:r>
        <w:rPr>
          <w:rFonts w:ascii="Cambria" w:hAnsi="Cambria"/>
          <w:b w:val="0"/>
          <w:i w:val="0"/>
          <w:color w:val="141A21"/>
          <w:sz w:val="22"/>
        </w:rPr>
        <w:t>Comment choisir un bon expert-comptable ?</w:t>
      </w:r>
    </w:p>
    <w:p>
      <w:pPr>
        <w:spacing w:before="0" w:after="180" w:line="264" w:lineRule="auto"/>
        <w:ind w:firstLine="340"/>
        <w:jc w:val="both"/>
      </w:pPr>
      <w:r>
        <w:rPr>
          <w:rFonts w:ascii="Cambria" w:hAnsi="Cambria"/>
          <w:b w:val="0"/>
          <w:i w:val="0"/>
          <w:color w:val="141A21"/>
          <w:sz w:val="22"/>
        </w:rPr>
        <w:t>Si ce métier m’a toujours attiré, je ne pense pas que soit par miméthysme avec mon père, quoi qu’en disent certains membres de ma famille, mais parce que ce métier permet de connaitre plein d’autres métiers. L’expert-comptable a souvent été pendant des décennies, le médecin généraliste de l’ ENTREPRENEUR . Cette profession que j’ai exercée pendant plus de 20 ans à une image un peu ringarde, surtout pour les chefs d’entreprise de la génération Y. c’est vrai qu’il faut retenir que la plupart du temps la majorité de notre travail consiste à « arrêter » les comptes des entreprises, nous sommes de fait « les Hommes du passé ». Néanmoins je peux vous assurer que cette profession est en pleine mutation, vous recouvrerez des Femmes et des Hommes du chiffre qui utilisent ces « arrêtés » de comptes pour « construire » l’avenir de votre entreprise avec vous. Cette image de généraliste n’a jamais été mon modèle j’ai toujours préféré être un multi-spécialiste mais que dans les domaines qui m’intéressaient le plus, soit le droit des sociétés et ses montages juridiques et l’immobilier, même si je travaille actuellement sur d’autres métiers. Cette « spécificité » devait être compensée par un partenariat avec d’autres « spécialistes » dans les domaines que je maitrisais moins. Dès 1995 j’ai constitué « un centre de traitement comptable » en satellite du cabinet d’expertise comptable, qui avait développé des plans de comptes par activités professionnelles. De ce fait je m’étais entouré de spécialistes pour valider les procédures de travail (et bien avant les normes ISO) comme par exemple dans l’automobile, la musique et le médical. Ce concept a été également dupliqué plusieurs années après lorsque j’ai participé à l’ouverture d’une société implantée à Madagascar qui effectuait de la saisie pour des cabinets d’expertise comptable. Actuellement, dans un monde où les documents comptables et commerciaux seront totalement dématérialisés et surtout binaires, je pense que l’affectation des écritures comptables se ferra automatiquement et que les cabinets comptable devront être des lieux de proximité où le client peut venir en toute confiance s’adresser à des professionnels pour les aider dans la gestion de leur entreprise, ces mêmes professionnels de proximité seront reliés à « des usines spécialisées » dans des domaines d’activité pour effectuer les traitements et les ajustements dans les règles et les normes d’une activité. Dernièrement je déjeunais avec une expert-comptable spécialisée dans le monde de l’auto-école, a qui je présentais une de mes connaissances qui possédait plusieurs dizaines d’agences, et j’ai été agréablement surpris de sa connaissance particulière de cette activité et de ce fait de sa capacité à rassurer le dirigeant en utilisant un langage bien à eux, on sentait cette symbiose et une certaine sérénité.</w:t>
      </w:r>
    </w:p>
    <w:p>
      <w:pPr>
        <w:spacing w:before="0" w:after="180" w:line="264" w:lineRule="auto"/>
        <w:ind w:firstLine="340"/>
        <w:jc w:val="both"/>
      </w:pPr>
      <w:r>
        <w:rPr>
          <w:rFonts w:ascii="Cambria" w:hAnsi="Cambria"/>
          <w:b w:val="0"/>
          <w:i w:val="0"/>
          <w:color w:val="141A21"/>
          <w:sz w:val="22"/>
        </w:rPr>
        <w:t>Ce modèle me plaisait assez bien car d’un naturel curieux j’aimais découvrir les différents métiers en discutant avec mes clients.</w:t>
      </w:r>
    </w:p>
    <w:p>
      <w:pPr>
        <w:spacing w:before="0" w:after="180" w:line="264" w:lineRule="auto"/>
        <w:ind w:firstLine="340"/>
        <w:jc w:val="both"/>
      </w:pPr>
      <w:r>
        <w:rPr>
          <w:rFonts w:ascii="Cambria" w:hAnsi="Cambria"/>
          <w:b w:val="0"/>
          <w:i w:val="0"/>
          <w:color w:val="141A21"/>
          <w:sz w:val="22"/>
        </w:rPr>
        <w:t>Plusieurs souvenirs sont encrés dans ma mémoire.</w:t>
      </w:r>
    </w:p>
    <w:p>
      <w:pPr>
        <w:spacing w:before="0" w:after="180" w:line="264" w:lineRule="auto"/>
        <w:ind w:firstLine="340"/>
        <w:jc w:val="both"/>
      </w:pPr>
      <w:r>
        <w:rPr>
          <w:rFonts w:ascii="Cambria" w:hAnsi="Cambria"/>
          <w:b w:val="0"/>
          <w:i w:val="0"/>
          <w:color w:val="141A21"/>
          <w:sz w:val="22"/>
        </w:rPr>
        <w:t>Une année, en analysant la comptabilité d’un boulanger, je remarque que les marges de production sont inferieures à celle de sa profession, analysée par le centre de gestion. Mon client ne pouvant l’expliquer, je lui propose de venir passer une journée avec lui pour mieux comprendre son organisation. Le rendez vous est prit à 2h du matin. Apres avoir prit un petit déjeuner avec l’équipe, je me balade dans le fournil en regardant tout ce qui se passait autour de moi. A 7h, alors que le magasin était ouvert depuis 1h, je m’installe avec mon client et nous parlons de cette « journée ». En fait j’avais constaté que des fournées avaient été trop cuites et qu’elles avaient été laissées à l’écart car invendable. Je fais remarquer que je trouve que cela est très important en invendus. Le boulanger m’explique que son four est vieux et capricieux et qu’il faut être très vigilant et contrôler la cuisson. Apres avoir réalisé un relevé du nombre de pains invendables, je recalcule mes coefficients de fabrication et je me rapproche des référents du centre de gestion mais je n’étais pas encore totalement satisfait. Je reste dans la boulangerie pour continuer d’analyser mes chiffres, pendant la sieste obligatoire du boulanger, et mon regard se laisse porter vers l’intérieur de la boutique, que nous apercevions au travers d’une vitre entre le « bureau » et le magasin. Mon regard était porté sur la vendeuse, qui servait les clients et encaissait, la plupart du temps des pièces et des billets. Quelques choses me gênait, en fait elle réalisait pour tout les clients le même « théâtre », « bonjour Madame, Monsieur, vous désirez ? » « x francs » « merci » « au revoir » et pourtant quelques choses me gênait. Apres plusieurs scènes de ce spectacle, je trouve ce qui cloche. En fait, pour certains clients, la vente n’était pas « taper » sur la caisse enregistreuse. Nous en avons discuté avec le client et après quelques « flicages » et des contrôles de caisse plus pertinents, il a constaté que cette vendeuse lui « empruntait » quelques recettes et cela depuis plusieurs années.</w:t>
      </w:r>
    </w:p>
    <w:p>
      <w:pPr>
        <w:spacing w:before="0" w:after="180" w:line="264" w:lineRule="auto"/>
        <w:ind w:firstLine="340"/>
        <w:jc w:val="both"/>
      </w:pPr>
      <w:r>
        <w:rPr>
          <w:rFonts w:ascii="Cambria" w:hAnsi="Cambria"/>
          <w:b w:val="0"/>
          <w:i w:val="0"/>
          <w:color w:val="141A21"/>
          <w:sz w:val="22"/>
        </w:rPr>
        <w:t>Ces 2 éléments m’ont permis, de mieux expliquer l’arrêté des comptes et d’accompagner mon client dans une restructuration, car il a effectué un investissement en changeant son four et s’est séparé de sa vendeuse. Depuis cette anecdote, je demande à mes collaborateurs, lorsqu’ils me présentent les projets d’arrêtés de comptes de nos clients, de calculer certains ratios et de leurs comparer aux ratios référencés par l’Ordre des experts-comptables ou de la fédération professionnelle.</w:t>
      </w:r>
    </w:p>
    <w:p>
      <w:pPr>
        <w:spacing w:before="0" w:after="180" w:line="264" w:lineRule="auto"/>
        <w:ind w:firstLine="340"/>
        <w:jc w:val="both"/>
      </w:pPr>
      <w:r>
        <w:rPr>
          <w:rFonts w:ascii="Cambria" w:hAnsi="Cambria"/>
          <w:b w:val="0"/>
          <w:i w:val="0"/>
          <w:color w:val="141A21"/>
          <w:sz w:val="22"/>
        </w:rPr>
        <w:t>Une autre anecdote pour mieux comprendre l’importance de la justification des stocks dans certaines professions. Dans mes débuts je travaillais dans le secteur de l’immobilier, domaine qui m’a toujours intéressé, je suivais un « dossier » d’agent immobilier et marchand de biens. Avec le client nous avions souvent des discordances sur l’affectation des dépenses, lui avait un peu trop tendance à vouloir considérer que ces dépenses étaient des charges a déduire immédiatement des produits de l’exercice pour baisser le résultat fiscal et moi je lui expliquait que ces dépenses n’étaient déductibles que lorsqu’il aurait vendu le biens immobilier qu’il possédait et que donc cette dépense venait en stock et non en charge. Ces nombreuses discussions m’ont permis de retenir que la plupart du temps votre client connait mieux son métier que vous-même et que sa gestion est souvent plus concrète et adaptée que notre fiscalité et de ce fait , encore aujourd’hui, lorsque je discute avec mes clients, les vrais ENTREPRENEURS pas les escrocs qui jouent avec les règles et les droits pour mieux gagner de l’argent au détriment des autres fournisseurs ou de l’Etat, et que nous ne sommes pas toujours en harmonie sur la comptabilisation de telle ou telle facture, je prend toujours du recul, je décante comme j’aime appelé ce moment, pour « réajuster » mon raisonnement avec l’impact professionnel des dires de mon client et seulement après je tranche. Mamie Odette, ma grand-mère, disait « il n’y a que les imbéciles qui ne changent pas d’avis », et comme je me trouve pas trop con je suis prêt a le faire.</w:t>
      </w:r>
    </w:p>
    <w:p>
      <w:pPr>
        <w:spacing w:before="0" w:after="180" w:line="264" w:lineRule="auto"/>
        <w:ind w:firstLine="340"/>
        <w:jc w:val="both"/>
      </w:pPr>
      <w:r>
        <w:rPr>
          <w:rFonts w:ascii="Cambria" w:hAnsi="Cambria"/>
          <w:b w:val="0"/>
          <w:i w:val="0"/>
          <w:color w:val="141A21"/>
          <w:sz w:val="22"/>
        </w:rPr>
        <w:t>J’applique cette façon de raisonner avec l’ensemble des mes clients, qu’ils soient restaurateurs et avec qui j’aime descendre dans leur cave pour « établir le stock », taxis avec qui je constate leur difficulté à lutter contre les UBER ou autres VTC,</w:t>
      </w:r>
    </w:p>
    <w:p>
      <w:pPr>
        <w:spacing w:before="0" w:after="180" w:line="264" w:lineRule="auto"/>
        <w:ind w:firstLine="340"/>
        <w:jc w:val="both"/>
      </w:pPr>
      <w:r>
        <w:rPr>
          <w:rFonts w:ascii="Cambria" w:hAnsi="Cambria"/>
          <w:b w:val="0"/>
          <w:i w:val="0"/>
          <w:color w:val="141A21"/>
          <w:sz w:val="22"/>
        </w:rPr>
        <w:t>Tout cela pour vous dire que votre expert-comptable est un des piliers de votre TEAM, il faut que vous ayez confiance en lui et en ses équipes car soyons honnête ce n’est pas lui qui ferra le quotidien de votre comptabilité, qu’il soit compétent dans votre domaine, vous ne choisiriez pas le même avocat qui vous a accompagné dans la reprise de la société que vous dirigez que l’avocat qui vous a assister dans votre divorce. Votre expert-comptable c’est pareil mais le plus important pour moi c’est que je sois compris par mes clients. A la fin d’une conférence, une dame s’approche de moi en m’indiquant qu’elle gère une société de transport en Alsace depuis 10 ans et depuis la même période elle ne comprend rien à ce que lui dit son conseil. Elle m’indique avoir compris l’intégralité de mon intervention et elle était heureuse. Nous nous sommes revus, j’ai travaillé pour elle et en plus j’ai augmenté mes honoraires par rapport à ceux de l’ancien cabinet comptable. Nous sommes tous les deux contents de notre relation car nous nous comprenons. Je terminerai par la disponibilité qui me semble l’essentiel. En effet, en tant que ENTREPRENEURS c’est à tout moment que vous pouvez être amené à prendre une décision et si vous avez des doutes, il faut pouvoir en discuter avec votre conseil, pour cette raison et tant que j’avais le pouvoir de décision j’ai toujours voulu que mes entreprises soient toujours « ouvertes » à la disposition des clients, j’imposais de ne jamais fermer les bureaux pour cause de vacances ou de ponts. Je suis certains ENTREPRENEURS dans le bâtiment. Une de leurs difficultés est la gestion des Hommes. En effet il arrive que certains matin à 6h30 dans la cour de l’entreprise lors de l’affectation des chantiers, des mots soient lâchés entre le salarié et l’employeur. Les conséquences peuvent être très importantes et mes années passées au conseil des prud’hommes, m’ont permis de pouvoir répondre a certaines demandes dans l’heure qui suivait. De ce fait, notre cabinet comptable était ouvert à partir de 7h30, horaire auquel je démarre mes rendez-vous.</w:t>
      </w:r>
    </w:p>
    <w:p>
      <w:pPr>
        <w:spacing w:before="0" w:after="180" w:line="264" w:lineRule="auto"/>
        <w:ind w:firstLine="340"/>
        <w:jc w:val="both"/>
      </w:pPr>
      <w:r>
        <w:rPr>
          <w:rFonts w:ascii="Cambria" w:hAnsi="Cambria"/>
          <w:b w:val="0"/>
          <w:i w:val="0"/>
          <w:color w:val="141A21"/>
          <w:sz w:val="22"/>
        </w:rPr>
        <w:t>Quand je parle de disponibilité je parle de l’ensemble des membres du cabinet comptable, car l’expert-comptable n’est qu’un Homme et qu’il a besoin lui aussi de prendre du repos et des vacances ou de passer du temps avec sa famille pour que son équilibre psychiatrique soit respecté. Dans notre profession nous ne vendons que du temps de travail, j’aime à dire « du jus de cerveau » et si ce dernier n’est pas en état, la vendange ne sera pas bonne.</w:t>
      </w:r>
    </w:p>
    <w:p>
      <w:pPr>
        <w:spacing w:before="0" w:after="180" w:line="264" w:lineRule="auto"/>
        <w:ind w:firstLine="340"/>
        <w:jc w:val="both"/>
      </w:pPr>
      <w:r>
        <w:rPr>
          <w:rFonts w:ascii="Cambria" w:hAnsi="Cambria"/>
          <w:b w:val="0"/>
          <w:i w:val="0"/>
          <w:color w:val="141A21"/>
          <w:sz w:val="22"/>
        </w:rPr>
        <w:t>Je suis moi-même un ENTREPRENEUR et je m’entoure de professionnels, j’ai mon commissaire aux comptes avec qui nous discutons depuis 20 ans de mes projets et des conséquences dans les comptes de mes sociétés, j’ai mes avocats avec leur spécialisation dans le droit du travail et dans le droit des sociétés, fort heureusement je n’ai pas eu besoin d’avocat en droit pénal ni pour un divorce, j’ai mes banquiers qui pour certains changent souvent avec qui j’envisage le financement de mes projets, mon notaire qui doit avoir le même esprit que moi car à chacune de nos rencontres pour solutionner un problème on trouve toujours une solution et surtout j’ai mes associés avec qui pour certains d’eux nous nous rencontrons souvent pour qu’ils me donnent leurs visions de mes projets en prenant de la hauteur car comme tout ENTREPRENEUR j’ai souvent le nez dans le guidon, comme mon « tonton » que je rencontre mensuellement pour discuter de la situation et de l’évolution de ces projets. Il faut avoir confiance en tous ces partenaires et savoir les écouter sans trop s’énerver car parfois leur vision n’est pas forcement la notre et nous sommes déçu de leur réaction, je ne parle de celle du banquier que vous allez voir pour un financement et qui vous dit que vous n’êtes pas assez riche, mais même celui la on peut l’écouter car il nous a dit que notre situation n’était pas assez « belle » pour demander un financement dans le circuit normal et cela peut nous permettre de réfléchir à d’autre solution. Mais il y a surtout vos associés qui eux sont intéressés à la réussite et qui vous transmette parfois leur peur sur la trajectoire que vous êtes en train de prendre et cela nous permet de s’arrêter et de réfléchir. Pour ma part j’ai constaté que lorsque mes copains me faisaient ce genre de remarques et qu’après discussion je n’avais pas réussis à les convaincre c’est que peut être mon projet n’était pas aussi bon que cela.</w:t>
      </w:r>
    </w:p>
    <w:p>
      <w:pPr>
        <w:spacing w:before="0" w:after="180" w:line="264" w:lineRule="auto"/>
        <w:ind w:firstLine="340"/>
        <w:jc w:val="both"/>
      </w:pPr>
      <w:r>
        <w:rPr>
          <w:rFonts w:ascii="Cambria" w:hAnsi="Cambria"/>
          <w:b w:val="0"/>
          <w:i w:val="0"/>
          <w:color w:val="141A21"/>
          <w:sz w:val="22"/>
        </w:rPr>
        <w:t>Un autre exemple, dernièrement je revenais d’une réunion d’associés sur une de mes filiales importante, avec quelques associés dans le TGV. Pendant la réunion, le Président de la société avait présenté un projet d’organisation. Il s’agissait de prévoir que les biens immobiliers utilisés par nos filiales soient isolés dans une SCI où l’associé en charge de la filiale pourrait avoir une participation de 30%. Cette organisation qui au premier abord me convenait car elle me semblait juste puisque le bâtiment était financé et surtout remboursé grâce aux efforts de l’équipe en place dans ces locaux et donc aux qualités de manager de l’associé référent du bureau, m’a paru totalement inadapté après l’échange que nous avons eu dans le TGV. En effet une jeune associée nous faisait remarquer que cette idée ne lui plaisait pas et que même elle était déroutante car pour elle qui était jeune et plus particulièrement sans trop de disponibilités financières et qui gérait un bureau dans une grande métropole dont le m² était très cher, elle ne pourrait pas participer financièrement au tour de table pour l’acquisition du bien immobilier. J’ai compris à ce moment que nous avons chacun une réaction face à une situation en fonction de NOUS et de notre acquis. En effet ma jeune associée qui se donne professionnelleement pour nous montrer à tous qu’elle peut faire tourner un bureau dans une ville importante malgré son âge et je rajouterai sa condition féminine se trouvait démunie face à cette situation car si comme nous l’avions prévu initialement le patrimoine immobilier reste la propriété à 100% de notre société, ma jeune associée bénéficie d’une valorisation de son patrimoine professionnel plus important que si les immeubles ne sont plus que détenus à 70% par notre société et qu’elle ne puisse acquérir 30% de ses bureaux. Peu de temps après ce voyage je rencontre à nouveau le Président et sans rentrer dans le détail je lui explique qu’après réflexion et malgré ce que j’avais pu dire à la réunion j’étais contre cette idée et souhaitais qu’elle n’aboutisse pas.</w:t>
      </w:r>
    </w:p>
    <w:p>
      <w:pPr>
        <w:spacing w:before="0" w:after="180" w:line="264" w:lineRule="auto"/>
        <w:ind w:firstLine="340"/>
        <w:jc w:val="both"/>
      </w:pPr>
      <w:r>
        <w:rPr>
          <w:rFonts w:ascii="Cambria" w:hAnsi="Cambria"/>
          <w:b w:val="0"/>
          <w:i w:val="0"/>
          <w:color w:val="141A21"/>
          <w:sz w:val="22"/>
        </w:rPr>
        <w:t>NOUS ou tout de moins MOI, n’avons pas la science infuse ; nous apprenons énormément en écoutant les autres mais il faut aussi dire que l’ENTREPRENEUR doit avoir aussi un esprit critique car sinon il écoute tout le monde avec des avis contradictoires et de ce fait soit il applique le slogan « du dernier qui a parlé a raison » soit il ne fait jamais rien.</w:t>
      </w:r>
    </w:p>
    <w:p>
      <w:pPr>
        <w:spacing w:before="0" w:after="180" w:line="264" w:lineRule="auto"/>
        <w:ind w:firstLine="340"/>
        <w:jc w:val="both"/>
      </w:pPr>
      <w:r>
        <w:rPr>
          <w:rFonts w:ascii="Cambria" w:hAnsi="Cambria"/>
          <w:b w:val="0"/>
          <w:i w:val="0"/>
          <w:color w:val="141A21"/>
          <w:sz w:val="22"/>
        </w:rPr>
        <w:t>En tout cas pour ma part j’ai toujours été honnête professionnellement avec mes clients qui venaient me voir pour réaliser une société pour un nouveau projet je leur disais toujours le fond de ma pensée si je n’adhérais pas à leur idée même si cela devais me couter le fait de perdre le client ou de ne pas réaliser la constitution de sa société.</w:t>
      </w:r>
    </w:p>
    <w:p>
      <w:pPr>
        <w:spacing w:before="0" w:after="180" w:line="264" w:lineRule="auto"/>
        <w:ind w:firstLine="340"/>
        <w:jc w:val="both"/>
      </w:pPr>
      <w:r>
        <w:rPr>
          <w:rFonts w:ascii="Cambria" w:hAnsi="Cambria"/>
          <w:b w:val="0"/>
          <w:i w:val="0"/>
          <w:color w:val="141A21"/>
          <w:sz w:val="22"/>
        </w:rPr>
        <w:t>Il faut vous entourer de professionnels et travailler avec eux dans la confiance.</w:t>
      </w:r>
    </w:p>
    <w:p>
      <w:r>
        <w:br w:type="page"/>
      </w:r>
    </w:p>
    <w:p>
      <w:pPr>
        <w:pStyle w:val="Heading1"/>
        <w:spacing w:before="800" w:after="160" w:line="276" w:lineRule="auto"/>
      </w:pPr>
      <w:r>
        <w:rPr>
          <w:rFonts w:ascii="Calibri" w:hAnsi="Calibri"/>
          <w:b/>
          <w:i w:val="0"/>
          <w:color w:val="B05A3C"/>
          <w:sz w:val="48"/>
        </w:rPr>
        <w:t>Partie II — Le monde des particuliers et entrepreneurs individuels</w:t>
      </w:r>
    </w:p>
    <w:p>
      <w:r>
        <w:br w:type="page"/>
      </w:r>
    </w:p>
    <w:p>
      <w:pPr>
        <w:pStyle w:val="Heading2"/>
        <w:spacing w:before="240" w:after="200" w:line="276" w:lineRule="auto"/>
      </w:pPr>
      <w:r>
        <w:rPr>
          <w:rFonts w:ascii="Calibri" w:hAnsi="Calibri"/>
          <w:b/>
          <w:i w:val="0"/>
          <w:color w:val="B05A3C"/>
          <w:sz w:val="36"/>
        </w:rPr>
        <w:t>Chapitre 4 — La fiscalité du particulier</w:t>
      </w:r>
    </w:p>
    <w:p>
      <w:pPr>
        <w:spacing w:before="0" w:after="180" w:line="264" w:lineRule="auto"/>
        <w:jc w:val="both"/>
      </w:pPr>
      <w:r>
        <w:rPr>
          <w:rFonts w:ascii="Cambria" w:hAnsi="Cambria"/>
          <w:b w:val="0"/>
          <w:i w:val="0"/>
          <w:color w:val="141A21"/>
          <w:sz w:val="22"/>
        </w:rPr>
        <w:t>2.1 L'impôt sur le revenu</w:t>
      </w:r>
    </w:p>
    <w:p>
      <w:pPr>
        <w:pStyle w:val="Heading3"/>
        <w:spacing w:before="400" w:after="100" w:line="276" w:lineRule="auto"/>
      </w:pPr>
      <w:r>
        <w:rPr>
          <w:rFonts w:ascii="Calibri" w:hAnsi="Calibri"/>
          <w:b/>
          <w:i w:val="0"/>
          <w:color w:val="141A21"/>
          <w:sz w:val="27"/>
        </w:rPr>
        <w:t>Propos général et loi de finances 2018</w:t>
      </w:r>
    </w:p>
    <w:p>
      <w:pPr>
        <w:spacing w:before="0" w:after="180" w:line="264" w:lineRule="auto"/>
        <w:jc w:val="both"/>
      </w:pPr>
      <w:r>
        <w:rPr>
          <w:rFonts w:ascii="Cambria" w:hAnsi="Cambria"/>
          <w:b w:val="0"/>
          <w:i w:val="0"/>
          <w:color w:val="141A21"/>
          <w:sz w:val="22"/>
        </w:rPr>
        <w:t>Propos général</w:t>
      </w:r>
    </w:p>
    <w:p>
      <w:pPr>
        <w:spacing w:before="0" w:after="180" w:line="264" w:lineRule="auto"/>
        <w:ind w:firstLine="340"/>
        <w:jc w:val="both"/>
      </w:pPr>
      <w:r>
        <w:rPr>
          <w:rFonts w:ascii="Cambria" w:hAnsi="Cambria"/>
          <w:b w:val="0"/>
          <w:i w:val="0"/>
          <w:color w:val="141A21"/>
          <w:sz w:val="22"/>
        </w:rPr>
        <w:t>Pour cette année 2018, la publication de la loi de finances était tres attendu par l’ensemble des professionnels qu’ils soient experts-comptables, avocats fiscalistes, notaires ou gestionnaires de patrimoines car elle devait contenir la vision fiscale du nouveau Président de la République Française élu en mai 2017, Emmanuel MACRON.</w:t>
      </w:r>
    </w:p>
    <w:p>
      <w:pPr>
        <w:spacing w:before="0" w:after="180" w:line="264" w:lineRule="auto"/>
        <w:ind w:firstLine="340"/>
        <w:jc w:val="both"/>
      </w:pPr>
      <w:r>
        <w:rPr>
          <w:rFonts w:ascii="Cambria" w:hAnsi="Cambria"/>
          <w:b w:val="0"/>
          <w:i w:val="0"/>
          <w:color w:val="141A21"/>
          <w:sz w:val="22"/>
        </w:rPr>
        <w:t>En tant que professionnel du chiffre j’étais bien sur en attente.</w:t>
      </w:r>
    </w:p>
    <w:p>
      <w:pPr>
        <w:spacing w:before="0" w:after="180" w:line="264" w:lineRule="auto"/>
        <w:ind w:firstLine="340"/>
        <w:jc w:val="both"/>
      </w:pPr>
      <w:r>
        <w:rPr>
          <w:rFonts w:ascii="Cambria" w:hAnsi="Cambria"/>
          <w:b w:val="0"/>
          <w:i w:val="0"/>
          <w:color w:val="141A21"/>
          <w:sz w:val="22"/>
        </w:rPr>
        <w:t>Je ne vais pas vous faire un cours sur la loi de finances mais nous analyserons quels points particuliers.</w:t>
      </w:r>
    </w:p>
    <w:p>
      <w:pPr>
        <w:spacing w:before="0" w:after="180" w:line="264" w:lineRule="auto"/>
        <w:ind w:firstLine="340"/>
        <w:jc w:val="both"/>
      </w:pPr>
      <w:r>
        <w:rPr>
          <w:rFonts w:ascii="Cambria" w:hAnsi="Cambria"/>
          <w:b w:val="0"/>
          <w:i w:val="0"/>
          <w:color w:val="141A21"/>
          <w:sz w:val="22"/>
        </w:rPr>
        <w:t>La loi de finances pour 2018 a été promulguée le 30 décembre 2017 et publiée au Journal officiel du 31 décembre 2017 sous le numéro 2017-1837. Le Conseil constitutionnel avait été saisi de recours et a déclaré conforme cette loi à la constitution. Les trois points principaux sont :</w:t>
      </w:r>
    </w:p>
    <w:p>
      <w:pPr>
        <w:spacing w:before="0" w:after="180" w:line="264" w:lineRule="auto"/>
        <w:ind w:firstLine="340"/>
        <w:jc w:val="both"/>
      </w:pPr>
      <w:r>
        <w:rPr>
          <w:rFonts w:ascii="Cambria" w:hAnsi="Cambria"/>
          <w:b w:val="0"/>
          <w:i w:val="0"/>
          <w:color w:val="141A21"/>
          <w:sz w:val="22"/>
        </w:rPr>
        <w:t>Le dégrèvement de la taxe d’habitation,</w:t>
      </w:r>
    </w:p>
    <w:p>
      <w:pPr>
        <w:spacing w:before="0" w:after="180" w:line="264" w:lineRule="auto"/>
        <w:ind w:firstLine="340"/>
        <w:jc w:val="both"/>
      </w:pPr>
      <w:r>
        <w:rPr>
          <w:rFonts w:ascii="Cambria" w:hAnsi="Cambria"/>
          <w:b w:val="0"/>
          <w:i w:val="0"/>
          <w:color w:val="141A21"/>
          <w:sz w:val="22"/>
        </w:rPr>
        <w:t>L’instauration du prélèvement forfaitaire unique,</w:t>
      </w:r>
    </w:p>
    <w:p>
      <w:pPr>
        <w:spacing w:before="0" w:after="180" w:line="264" w:lineRule="auto"/>
        <w:ind w:firstLine="340"/>
        <w:jc w:val="both"/>
      </w:pPr>
      <w:r>
        <w:rPr>
          <w:rFonts w:ascii="Cambria" w:hAnsi="Cambria"/>
          <w:b w:val="0"/>
          <w:i w:val="0"/>
          <w:color w:val="141A21"/>
          <w:sz w:val="22"/>
        </w:rPr>
        <w:t>La suppression de l’ISF et l’instauration de l’Impôt sur la Fortune Immobilière (IFI).</w:t>
      </w:r>
    </w:p>
    <w:p>
      <w:pPr>
        <w:spacing w:before="0" w:after="180" w:line="264" w:lineRule="auto"/>
        <w:ind w:firstLine="340"/>
        <w:jc w:val="both"/>
      </w:pPr>
      <w:r>
        <w:rPr>
          <w:rFonts w:ascii="Cambria" w:hAnsi="Cambria"/>
          <w:b w:val="0"/>
          <w:i w:val="0"/>
          <w:color w:val="141A21"/>
          <w:sz w:val="22"/>
        </w:rPr>
        <w:t>Nous voila donc prêt pour affiner notre stratégie pour 2018.</w:t>
      </w:r>
    </w:p>
    <w:p>
      <w:pPr>
        <w:spacing w:before="0" w:after="180" w:line="264" w:lineRule="auto"/>
        <w:ind w:firstLine="340"/>
        <w:jc w:val="both"/>
      </w:pPr>
      <w:r>
        <w:rPr>
          <w:rFonts w:ascii="Cambria" w:hAnsi="Cambria"/>
          <w:b w:val="0"/>
          <w:i w:val="0"/>
          <w:color w:val="141A21"/>
          <w:sz w:val="22"/>
        </w:rPr>
        <w:t>La spécificité française fait que nos gouvernants sont capables de nous imposer des fonctionnements et des pratiques fiscales pour l’année 2017 en …… décembre 2017 ; c’est ce que l’on appelle la loi de finances rectificative pour 2017 qui a été promulguée le 28 décembre 2017 et publiée au Journal officiel du 29 décembre 2017.</w:t>
      </w:r>
    </w:p>
    <w:p>
      <w:pPr>
        <w:spacing w:before="0" w:after="180" w:line="264" w:lineRule="auto"/>
        <w:ind w:firstLine="340"/>
        <w:jc w:val="both"/>
      </w:pPr>
      <w:r>
        <w:rPr>
          <w:rFonts w:ascii="Cambria" w:hAnsi="Cambria"/>
          <w:b w:val="0"/>
          <w:i w:val="0"/>
          <w:color w:val="141A21"/>
          <w:sz w:val="22"/>
        </w:rPr>
        <w:t>Les investisseurs étranger ne comprennent rien à notre système et le regrettent souvent. Il n’y a pas qu’eux, nous aussi, les conseils des entreprises, nous réfléchissons et exposant des stratégies économiques et fiscales (je ne parle pas bien sur de stratégies illégales) pour organiser le patrimoine de nos clients ou de déterminer l’impact de telle ou telle loi sur les budgets de nos entreprises afin de réaliser le tableau de bords (plus souvent dénommé le business plan) et en fin d’année on vous change les règles ; pas simple la vie d’ENTREPRENEURS.</w:t>
      </w:r>
    </w:p>
    <w:p>
      <w:pPr>
        <w:spacing w:before="0" w:after="180" w:line="264" w:lineRule="auto"/>
        <w:ind w:firstLine="340"/>
        <w:jc w:val="both"/>
      </w:pPr>
      <w:r>
        <w:rPr>
          <w:rFonts w:ascii="Cambria" w:hAnsi="Cambria"/>
          <w:b w:val="0"/>
          <w:i w:val="0"/>
          <w:color w:val="141A21"/>
          <w:sz w:val="22"/>
        </w:rPr>
        <w:t>Mais bon c’est comme ça et on continue d’avancer.</w:t>
      </w:r>
    </w:p>
    <w:p>
      <w:pPr>
        <w:spacing w:before="0" w:after="180" w:line="264" w:lineRule="auto"/>
        <w:ind w:firstLine="340"/>
        <w:jc w:val="both"/>
      </w:pPr>
      <w:r>
        <w:rPr>
          <w:rFonts w:ascii="Cambria" w:hAnsi="Cambria"/>
          <w:b w:val="0"/>
          <w:i w:val="0"/>
          <w:color w:val="141A21"/>
          <w:sz w:val="22"/>
        </w:rPr>
        <w:t>J’ai voulu concevoir cet ouvrage pour que chacun puisse venir puiser de l’information lui permettant de développer son Business. Ce livre comporte plusieurs parties techniques avec des références au droit fiscal. Il pourra vous paraitre « indigeste » a certains moments car trop technique, mais comme le stipule Olivier ROLAND dans son ouvrage phénomène « mieux vaut ne lire qu’une petite partie et l’appliquer que tout lire en ne faisant rien », en tout cas mon seul objectif est de vous permettre de passez dans l’univers des ENTREPRENEURS qui crée leur vie et celles des autres.</w:t>
      </w:r>
    </w:p>
    <w:p>
      <w:pPr>
        <w:pStyle w:val="Heading3"/>
        <w:spacing w:before="400" w:after="100" w:line="276" w:lineRule="auto"/>
      </w:pPr>
      <w:r>
        <w:rPr>
          <w:rFonts w:ascii="Calibri" w:hAnsi="Calibri"/>
          <w:b/>
          <w:i w:val="0"/>
          <w:color w:val="141A21"/>
          <w:sz w:val="27"/>
        </w:rPr>
        <w:t>Les tranches d'imposition et la CSG-CRDS</w:t>
      </w:r>
    </w:p>
    <w:p>
      <w:pPr>
        <w:spacing w:before="0" w:after="180" w:line="264" w:lineRule="auto"/>
        <w:jc w:val="both"/>
      </w:pPr>
      <w:r>
        <w:rPr>
          <w:rFonts w:ascii="Cambria" w:hAnsi="Cambria"/>
          <w:b w:val="0"/>
          <w:i w:val="0"/>
          <w:color w:val="141A21"/>
          <w:sz w:val="22"/>
        </w:rPr>
        <w:t>Explication des tranches d'imposition</w:t>
      </w:r>
    </w:p>
    <w:p>
      <w:pPr>
        <w:spacing w:before="0" w:after="180" w:line="264" w:lineRule="auto"/>
        <w:ind w:firstLine="340"/>
        <w:jc w:val="both"/>
      </w:pPr>
      <w:r>
        <w:rPr>
          <w:rFonts w:ascii="Cambria" w:hAnsi="Cambria"/>
          <w:b w:val="0"/>
          <w:i w:val="0"/>
          <w:color w:val="141A21"/>
          <w:sz w:val="22"/>
        </w:rPr>
        <w:t>Les cotisations sociales CSG CRDS</w:t>
      </w:r>
    </w:p>
    <w:p>
      <w:pPr>
        <w:spacing w:before="0" w:after="180" w:line="264" w:lineRule="auto"/>
        <w:ind w:firstLine="340"/>
        <w:jc w:val="both"/>
      </w:pPr>
      <w:r>
        <w:rPr>
          <w:rFonts w:ascii="Cambria" w:hAnsi="Cambria"/>
          <w:b w:val="0"/>
          <w:i w:val="0"/>
          <w:color w:val="141A21"/>
          <w:sz w:val="22"/>
        </w:rPr>
        <w:t>Lorsque l’on parle de l’IR, l’impôt sur le revenu, on amalgame la collecte de l’impôt et de la CSG (contribution sociale généralisée).</w:t>
      </w:r>
    </w:p>
    <w:p>
      <w:pPr>
        <w:spacing w:before="0" w:after="180" w:line="264" w:lineRule="auto"/>
        <w:ind w:firstLine="340"/>
        <w:jc w:val="both"/>
      </w:pPr>
      <w:r>
        <w:rPr>
          <w:rFonts w:ascii="Cambria" w:hAnsi="Cambria"/>
          <w:b w:val="0"/>
          <w:i w:val="0"/>
          <w:color w:val="141A21"/>
          <w:sz w:val="22"/>
        </w:rPr>
        <w:t>L’impôt sur le revenu se calcule par tranche de revenus a laquelle on applique un taux.</w:t>
      </w:r>
    </w:p>
    <w:p>
      <w:pPr>
        <w:spacing w:before="0" w:after="180" w:line="264" w:lineRule="auto"/>
        <w:ind w:firstLine="340"/>
        <w:jc w:val="both"/>
      </w:pPr>
      <w:r>
        <w:rPr>
          <w:rFonts w:ascii="Cambria" w:hAnsi="Cambria"/>
          <w:b w:val="0"/>
          <w:i w:val="0"/>
          <w:color w:val="141A21"/>
          <w:sz w:val="22"/>
        </w:rPr>
        <w:t>Plusieurs revenus sont a distinguer :</w:t>
      </w:r>
    </w:p>
    <w:p>
      <w:pPr>
        <w:spacing w:before="0" w:after="180" w:line="264" w:lineRule="auto"/>
        <w:ind w:firstLine="340"/>
        <w:jc w:val="both"/>
      </w:pPr>
      <w:r>
        <w:rPr>
          <w:rFonts w:ascii="Cambria" w:hAnsi="Cambria"/>
          <w:b w:val="0"/>
          <w:i w:val="0"/>
          <w:color w:val="141A21"/>
          <w:sz w:val="22"/>
        </w:rPr>
        <w:t>Traitements et salaires, comprenant les revenus relevant de la catégorie des salaires et les revenus bruts ;</w:t>
      </w:r>
    </w:p>
    <w:p>
      <w:pPr>
        <w:spacing w:before="0" w:after="180" w:line="264" w:lineRule="auto"/>
        <w:ind w:firstLine="340"/>
        <w:jc w:val="both"/>
      </w:pPr>
      <w:r>
        <w:rPr>
          <w:rFonts w:ascii="Cambria" w:hAnsi="Cambria"/>
          <w:b w:val="0"/>
          <w:i w:val="0"/>
          <w:color w:val="141A21"/>
          <w:sz w:val="22"/>
        </w:rPr>
        <w:t>Pensions et rentes viagères ;</w:t>
      </w:r>
    </w:p>
    <w:p>
      <w:pPr>
        <w:spacing w:before="0" w:after="180" w:line="264" w:lineRule="auto"/>
        <w:ind w:firstLine="340"/>
        <w:jc w:val="both"/>
      </w:pPr>
      <w:r>
        <w:rPr>
          <w:rFonts w:ascii="Cambria" w:hAnsi="Cambria"/>
          <w:b w:val="0"/>
          <w:i w:val="0"/>
          <w:color w:val="141A21"/>
          <w:sz w:val="22"/>
        </w:rPr>
        <w:t>Revenus mobiliers et plus-values.</w:t>
      </w:r>
    </w:p>
    <w:p>
      <w:pPr>
        <w:spacing w:before="0" w:after="180" w:line="264" w:lineRule="auto"/>
        <w:ind w:firstLine="340"/>
        <w:jc w:val="both"/>
      </w:pPr>
      <w:r>
        <w:rPr>
          <w:rFonts w:ascii="Cambria" w:hAnsi="Cambria"/>
          <w:b w:val="0"/>
          <w:i w:val="0"/>
          <w:color w:val="141A21"/>
          <w:sz w:val="22"/>
        </w:rPr>
        <w:t>Tout cela forme le revenu imposable.</w:t>
      </w:r>
    </w:p>
    <w:p>
      <w:pPr>
        <w:pStyle w:val="Heading3"/>
        <w:spacing w:before="400" w:after="100" w:line="276" w:lineRule="auto"/>
      </w:pPr>
      <w:r>
        <w:rPr>
          <w:rFonts w:ascii="Calibri" w:hAnsi="Calibri"/>
          <w:b/>
          <w:i w:val="0"/>
          <w:color w:val="141A21"/>
          <w:sz w:val="27"/>
        </w:rPr>
        <w:t>Les traitements et salaires</w:t>
      </w:r>
    </w:p>
    <w:p>
      <w:pPr>
        <w:spacing w:before="0" w:after="180" w:line="264" w:lineRule="auto"/>
        <w:jc w:val="both"/>
      </w:pPr>
      <w:r>
        <w:rPr>
          <w:rFonts w:ascii="Cambria" w:hAnsi="Cambria"/>
          <w:b w:val="0"/>
          <w:i w:val="0"/>
          <w:color w:val="141A21"/>
          <w:sz w:val="22"/>
        </w:rPr>
        <w:t>Traitements et salaires :</w:t>
      </w:r>
    </w:p>
    <w:p>
      <w:pPr>
        <w:spacing w:before="0" w:after="180" w:line="264" w:lineRule="auto"/>
        <w:ind w:firstLine="340"/>
        <w:jc w:val="both"/>
      </w:pPr>
      <w:r>
        <w:rPr>
          <w:rFonts w:ascii="Cambria" w:hAnsi="Cambria"/>
          <w:b w:val="0"/>
          <w:i w:val="0"/>
          <w:color w:val="141A21"/>
          <w:sz w:val="22"/>
        </w:rPr>
        <w:t>Revenus d’une activité de salariée :</w:t>
      </w:r>
    </w:p>
    <w:p>
      <w:pPr>
        <w:spacing w:before="0" w:after="180" w:line="264" w:lineRule="auto"/>
        <w:ind w:firstLine="340"/>
        <w:jc w:val="both"/>
      </w:pPr>
      <w:r>
        <w:rPr>
          <w:rFonts w:ascii="Cambria" w:hAnsi="Cambria"/>
          <w:b w:val="0"/>
          <w:i w:val="0"/>
          <w:color w:val="141A21"/>
          <w:sz w:val="22"/>
        </w:rPr>
        <w:t>Est en principe considéré comme salarié tout contribuable dont la rémunération trouve sa source dans un contrat de travail, écrit ou verbal. Juridiquement, le contrat de travail se caractérise par l’existence d’un lien de subordination entre l’employeur et l’employé et par l’impossibilité pour celui-ci de réaliser un gain en dehors du salaire, prix convenu des services.</w:t>
      </w:r>
    </w:p>
    <w:p>
      <w:pPr>
        <w:spacing w:before="0" w:after="180" w:line="264" w:lineRule="auto"/>
        <w:ind w:firstLine="340"/>
        <w:jc w:val="both"/>
      </w:pPr>
      <w:r>
        <w:rPr>
          <w:rFonts w:ascii="Cambria" w:hAnsi="Cambria"/>
          <w:b w:val="0"/>
          <w:i w:val="0"/>
          <w:color w:val="141A21"/>
          <w:sz w:val="22"/>
        </w:rPr>
        <w:t>La notion de subordination juridique qui caractérise l’activité salariée repose en fait sur l’autorité de l’employeur, qui nomme et révoque le salarié, donne les directives concernant l’exécution du travail, en contrôle l’exécution et en vérifie les résultats. Sans constituer un caractère exclusif, le mode de rémunération est un élément d’appréciation important. L’autonomie du bénéficiaire de la rémunération à l’égard du débiteur constitue également un critère d’appréciation important.</w:t>
      </w:r>
    </w:p>
    <w:p>
      <w:pPr>
        <w:spacing w:before="0" w:after="180" w:line="264" w:lineRule="auto"/>
        <w:ind w:firstLine="340"/>
        <w:jc w:val="both"/>
      </w:pPr>
      <w:r>
        <w:rPr>
          <w:rFonts w:ascii="Cambria" w:hAnsi="Cambria"/>
          <w:b w:val="0"/>
          <w:i w:val="0"/>
          <w:color w:val="141A21"/>
          <w:sz w:val="22"/>
        </w:rPr>
        <w:t>Cette notion de subordination est l’élément principal du statut de salarié. Lors des mes fonctions près du conseil des prud’hommes (2008-2016) j’ai constaté avec quelle acharnement certaines personnes (au travers de leur avocat parfois) voulaient faire reconnaitre par la justice ce lien de subordination. En effet sans cet élément pas de statut salarié. Ceci entraine la non application du salaire minimum, du temps de travail maximum, du délais de repos compensateur, du règlement des heures supplémentaires etc… en effet si vous avez constitué votre entreprise (micro-entreprise ou entreprise individuelle) pour « être à votre compte » et avoir la liberté de gestion de votre temps et que vous travaillez pour un client (la plupart du temps car vous n’en trouvez pas d’autres) et que vous vous dites que la rémunération de votre travail ne vous permet pas de prendre des congés « payés » ou de vous ouvrir des « extras » vous pouvez être tenté de demander à la justice de reconnaitre qu’en fait votre statut réel est le salariat et que de ce fait la justice doit condamner votre donneur d’ordre a vous reconnaitre comme son salarié et à régulariser la situation par le paiement de certaines indemnisations. J’ai vu plusieurs fois cette situation lors des nombreuses plaidoiries que j’ai présidées et la plupart du temps la situation était identique. La personne a « cru » que d’être ENTREPRENEUR c’était facile et beaucoup plus rémunérateur ; donc elle a essayé et malheureusement pour elle ça n’a pas marché. Bien sur des cas familiaux ont été terribles car ces personnes avaient investies leur économie mais ce n’est pas de la faute des autres si leur entreprise n’a pas décollé donc ce n’est pas à la justice de décider que quelqu’un d’autres doit payer les pots cassés. Néanmoins ce n’est pas toujours cela, certains employeurs ne sont pas tout blancs. Je me souviens du cas d’un monsieur avec un nom a rallonge qui travaillait pour une grande entreprise de bâtiment et était plaquiste, il posait des mètres linéaires de Placoplatre. Son directeur lui avait fait miroiter qu’en se mettant à son compte, il pourrait travailler plus et comme c’était un bon ouvrier le directeur se débrouillerait pour lui donner plus de travail donc « plus de sous ». Je me souviens de cette personne quand elle a poussé la porte de notre cabinet comptable pour nous demander de l’assister dans l’établissement de ses obligations fiscales (bilan et TVA). Elle était enjouée, fier de se lancée. Plusieurs mois plus tard elle est passée au bureau pour déposer les documents comptables et son visage montrait une fatigue lourde à porter. En fait son « directeur-client » était toujours autant content de lui et effectivement lui donnait plus de travail mais c’était toujours en urgence avec des nuits pour avancer le travail des salaries de l’entreprise non fini dans la journée et les week-ends et les vacances, mais surtout le prix du mètre linéaire posé, unité de la rémunération, n’évoluait pas en fonction de la période où était réalisée les travaux. Cette situation aurait méritée d’être plaidée devant un juge.</w:t>
      </w:r>
    </w:p>
    <w:p>
      <w:pPr>
        <w:spacing w:before="0" w:after="180" w:line="264" w:lineRule="auto"/>
        <w:ind w:firstLine="340"/>
        <w:jc w:val="both"/>
      </w:pPr>
      <w:r>
        <w:rPr>
          <w:rFonts w:ascii="Cambria" w:hAnsi="Cambria"/>
          <w:b w:val="0"/>
          <w:i w:val="0"/>
          <w:color w:val="141A21"/>
          <w:sz w:val="22"/>
        </w:rPr>
        <w:t>Revenons à nos salaires. Le salarié doit , sauf cas particulier, comprendre dans son revenu imposable toutes les sommes mises à sa disposition au cours de l’année, doivent être regardés comme mis à disposition soit à la date à laquelle le chèque est remis par l’employeur (et non la date à laquelle le chèque a été porté au crédit du compte du bénéficiaire), soit à la date à laquelle le montant du virement bancaire ou postal est porté au crédit du compte du salarié, dès lors qu’elle apparaissent comme formant la rétribution d’un travail, sans distinguer suivant qu’il s’agit d’un travail principal ou accessoire, y compris les rémunérations perçues à raison des heures supplémentaires et complémentaires de travail. Dans la pratique si votre salaire de décembre N vous a été viré sur votre compte bancaire ou postal le 5 janvier N+1, vous pouvez ne pas le porter dans les revenus de l’année N. L’aide au financement des services à la personne versée, par le comité d’entreprise ou l’entreprise, aux salariés ou dirigeants soit directement, soit au moyen du chèque emploi-service universel (CESU), est exonérée d’impôt sur le revenu, plafonnée à 1 830€ par an (à revoir chaque année) et par bénéficiaire ayant eu recours à un ou plusieurs services financés par cette aide ; au-delà de ce plafond, les aides financières sont, à due concurrence, imposables comme complément de salaire. Les salaires versés aux apprentis munis d’un contrat répondant aux conditions prévues par le code du travail sont exonérés d’impôt sur le revenu dans la limite de 12 fois le SMIC mensuel brut pour 35 heures hebdomadaires de l’année d’imposition, arrondi à l’euro le plus proche. Seule la fraction des salaires qui excède cette limite doit être mentionnée dans la déclaration de revenus. Plusieurs professions bénéficient de spécificités comme les assistants maternels ou familiaux, au personnel artistique en tournées.</w:t>
      </w:r>
    </w:p>
    <w:p>
      <w:pPr>
        <w:spacing w:before="0" w:after="180" w:line="264" w:lineRule="auto"/>
        <w:ind w:firstLine="340"/>
        <w:jc w:val="both"/>
      </w:pPr>
      <w:r>
        <w:rPr>
          <w:rFonts w:ascii="Cambria" w:hAnsi="Cambria"/>
          <w:b w:val="0"/>
          <w:i w:val="0"/>
          <w:color w:val="141A21"/>
          <w:sz w:val="22"/>
        </w:rPr>
        <w:t>Revenus assimilés à des salaires :</w:t>
      </w:r>
    </w:p>
    <w:p>
      <w:pPr>
        <w:spacing w:before="0" w:after="180" w:line="264" w:lineRule="auto"/>
        <w:ind w:firstLine="340"/>
        <w:jc w:val="both"/>
      </w:pPr>
      <w:r>
        <w:rPr>
          <w:rFonts w:ascii="Cambria" w:hAnsi="Cambria"/>
          <w:b w:val="0"/>
          <w:i w:val="0"/>
          <w:color w:val="141A21"/>
          <w:sz w:val="22"/>
        </w:rPr>
        <w:t>Outre les rémunérations versées à des personnes placées dans un état de subordination envers leurs employeurs, entrent également dans la catégorie des traitements et salaires :</w:t>
      </w:r>
    </w:p>
    <w:p>
      <w:pPr>
        <w:spacing w:before="0" w:after="180" w:line="264" w:lineRule="auto"/>
        <w:ind w:firstLine="340"/>
        <w:jc w:val="both"/>
      </w:pPr>
      <w:r>
        <w:rPr>
          <w:rFonts w:ascii="Cambria" w:hAnsi="Cambria"/>
          <w:b w:val="0"/>
          <w:i w:val="0"/>
          <w:color w:val="141A21"/>
          <w:sz w:val="22"/>
        </w:rPr>
        <w:t>Les rémunérations allouées aux titulaires d’un statut particulier, tels que les artistes du spectacle, les journalistes, les apprentis, les assistants maternels ou les représentants de commerce ;</w:t>
      </w:r>
    </w:p>
    <w:p>
      <w:pPr>
        <w:spacing w:before="0" w:after="180" w:line="264" w:lineRule="auto"/>
        <w:ind w:firstLine="340"/>
        <w:jc w:val="both"/>
      </w:pPr>
      <w:r>
        <w:rPr>
          <w:rFonts w:ascii="Cambria" w:hAnsi="Cambria"/>
          <w:b w:val="0"/>
          <w:i w:val="0"/>
          <w:color w:val="141A21"/>
          <w:sz w:val="22"/>
        </w:rPr>
        <w:t>Les indemnités, émoluments et traitements, publics ou privés, sans qu’il ya ait lieu de tenir compte de la situation de leur bénéficiaire au regard de la législation du travail ou de la législation sociale. Tel est le cas des rémunérations servies aux fonctionnaires titulaires, aux agents contractuels et stagiaires, ou encore au personnel des entreprises publiques. Il en va de même s’agissant des rémunérations perçues par les dirigeants de sociétés ou les gérants minoritaires et, dans certains cas des sommes attribuées à l’héritier ou au conjoint d’un exploitant agricole au titre d’un contrat de travail à salaire différé ;</w:t>
      </w:r>
    </w:p>
    <w:p>
      <w:pPr>
        <w:spacing w:before="0" w:after="180" w:line="264" w:lineRule="auto"/>
        <w:ind w:firstLine="340"/>
        <w:jc w:val="both"/>
      </w:pPr>
      <w:r>
        <w:rPr>
          <w:rFonts w:ascii="Cambria" w:hAnsi="Cambria"/>
          <w:b w:val="0"/>
          <w:i w:val="0"/>
          <w:color w:val="141A21"/>
          <w:sz w:val="22"/>
        </w:rPr>
        <w:t>Les revenus assimilés à des salaires par le code général des impôts, tels que les revenus perçus par les artisans-pécheurs, les travailleurs à domicile, les associés d’une société de personne ou encore le conjoint de l’exploitant individuel.</w:t>
      </w:r>
    </w:p>
    <w:p>
      <w:pPr>
        <w:spacing w:before="0" w:after="180" w:line="264" w:lineRule="auto"/>
        <w:ind w:firstLine="340"/>
        <w:jc w:val="both"/>
      </w:pPr>
      <w:r>
        <w:rPr>
          <w:rFonts w:ascii="Cambria" w:hAnsi="Cambria"/>
          <w:b w:val="0"/>
          <w:i w:val="0"/>
          <w:color w:val="141A21"/>
          <w:sz w:val="22"/>
        </w:rPr>
        <w:t>Par ailleurs, certains revenus sont déterminés suivant les règles applicables aux traitements et salaires sans entrer toutefois dans le champ d’application de cette catégorie. Ce rattachement à la catégorie des traitements et salaires n’entraine de conséquence, pour les personnes concernées, qu’au niveau du mode de détermination du revenu imposable. Sont limitativement visés les revenus dégagés par les agents généraux d’assurances, les auteurs d’œuvres de l’esprit, les associes d’exploitation agricoles et les fonctionnaires chercheurs.</w:t>
      </w:r>
    </w:p>
    <w:p>
      <w:pPr>
        <w:spacing w:before="0" w:after="180" w:line="264" w:lineRule="auto"/>
        <w:ind w:firstLine="340"/>
        <w:jc w:val="both"/>
      </w:pPr>
      <w:r>
        <w:rPr>
          <w:rFonts w:ascii="Cambria" w:hAnsi="Cambria"/>
          <w:b w:val="0"/>
          <w:i w:val="0"/>
          <w:color w:val="141A21"/>
          <w:sz w:val="22"/>
        </w:rPr>
        <w:t>Certaines indemnités, primes et gratifications échappent à l’imposition, totalement ou partiellement, si elles constituent le remboursement de dépenses supportées par les salariés mais incombant par nature à l’employeur sous certaines conditions comme les titres-restaurant ou si elles présentent le caractère d’un secours ou de dommages-intérêts :</w:t>
      </w:r>
    </w:p>
    <w:p>
      <w:pPr>
        <w:spacing w:before="0" w:after="180" w:line="264" w:lineRule="auto"/>
        <w:ind w:firstLine="340"/>
        <w:jc w:val="both"/>
      </w:pPr>
      <w:r>
        <w:rPr>
          <w:rFonts w:ascii="Cambria" w:hAnsi="Cambria"/>
          <w:b w:val="0"/>
          <w:i w:val="0"/>
          <w:color w:val="141A21"/>
          <w:sz w:val="22"/>
        </w:rPr>
        <w:t>L’aide financière versé, par le comité d’entreprise ou l’entreprise, aux salariés ou dirigeants soit directement, soit au moyen du chèque emploi-service universel ‘CESU) ;</w:t>
      </w:r>
    </w:p>
    <w:p>
      <w:pPr>
        <w:spacing w:before="0" w:after="180" w:line="264" w:lineRule="auto"/>
        <w:ind w:firstLine="340"/>
        <w:jc w:val="both"/>
      </w:pPr>
      <w:r>
        <w:rPr>
          <w:rFonts w:ascii="Cambria" w:hAnsi="Cambria"/>
          <w:b w:val="0"/>
          <w:i w:val="0"/>
          <w:color w:val="141A21"/>
          <w:sz w:val="22"/>
        </w:rPr>
        <w:t>L’aide destinée à financer soit l’accès des bénéficiaires à des services aux personnes et aux familles développés au sein de l’entreprise, soit directement ou par l’intermédiaire d’une structure prestataire, des activités de services à la personne visées dans le cadre de l’aide fiscale pour l’emploi d’un salarié à domicile ;</w:t>
      </w:r>
    </w:p>
    <w:p>
      <w:pPr>
        <w:spacing w:before="0" w:after="180" w:line="264" w:lineRule="auto"/>
        <w:ind w:firstLine="340"/>
        <w:jc w:val="both"/>
      </w:pPr>
      <w:r>
        <w:rPr>
          <w:rFonts w:ascii="Cambria" w:hAnsi="Cambria"/>
          <w:b w:val="0"/>
          <w:i w:val="0"/>
          <w:color w:val="141A21"/>
          <w:sz w:val="22"/>
        </w:rPr>
        <w:t>L’aide financière aux chercheurs.</w:t>
      </w:r>
    </w:p>
    <w:p>
      <w:pPr>
        <w:spacing w:before="0" w:after="180" w:line="264" w:lineRule="auto"/>
        <w:ind w:firstLine="340"/>
        <w:jc w:val="both"/>
      </w:pPr>
      <w:r>
        <w:rPr>
          <w:rFonts w:ascii="Cambria" w:hAnsi="Cambria"/>
          <w:b w:val="0"/>
          <w:i w:val="0"/>
          <w:color w:val="141A21"/>
          <w:sz w:val="22"/>
        </w:rPr>
        <w:t>Les salariés doivent comprendre dans leur revenu imposable la valeur des avantages en nature dont ils ont bénéficiés. Pour constituer une rémunération, l’avantage en nature doit :</w:t>
      </w:r>
    </w:p>
    <w:p>
      <w:pPr>
        <w:spacing w:before="0" w:after="180" w:line="264" w:lineRule="auto"/>
        <w:ind w:firstLine="340"/>
        <w:jc w:val="both"/>
      </w:pPr>
      <w:r>
        <w:rPr>
          <w:rFonts w:ascii="Cambria" w:hAnsi="Cambria"/>
          <w:b w:val="0"/>
          <w:i w:val="0"/>
          <w:color w:val="141A21"/>
          <w:sz w:val="22"/>
        </w:rPr>
        <w:t>Etre concédé gratuitement. Si une retenue est pratiquée sur le salaire de l’intéressé, ou si le versement d’une redevance d’usage lui est imposé, il n’y a d’avantage que dans la mesure où le montant de la retenue ou du versement est inferieur à la valeur de l’élément fourni ;</w:t>
      </w:r>
    </w:p>
    <w:p>
      <w:pPr>
        <w:spacing w:before="0" w:after="180" w:line="264" w:lineRule="auto"/>
        <w:ind w:firstLine="340"/>
        <w:jc w:val="both"/>
      </w:pPr>
      <w:r>
        <w:rPr>
          <w:rFonts w:ascii="Cambria" w:hAnsi="Cambria"/>
          <w:b w:val="0"/>
          <w:i w:val="0"/>
          <w:color w:val="141A21"/>
          <w:sz w:val="22"/>
        </w:rPr>
        <w:t>Concerner un objet ou une prestation à l’usage personnel du salarié ; la dépense prise en charge par l’employeur doit incomber normalement au salarié. Elle peut être d’ordre privé (logement, nourriture,…) ou d’ordre professionnel (véhicule, …) et il n’ya pas lieu de distinguer selon que l’avantage constitue, ou non, la contrepartie d’obligations professionnelles. Néanmoins lorsque l’avantage en nature couvre des dépenses professionnelles et présente le caractère d’une allocation pour frais d’emploi, il peut bénéficier de l’exonération prévue pour les frais professionnels. En principe, les avantages en nature sont évalués pour leur valeur réelle ; toutefois pour certains d’entres eux l’employeur peut retenir une évaluation forfaitaire minimum.</w:t>
      </w:r>
    </w:p>
    <w:p>
      <w:pPr>
        <w:spacing w:before="0" w:after="180" w:line="264" w:lineRule="auto"/>
        <w:ind w:firstLine="340"/>
        <w:jc w:val="both"/>
      </w:pPr>
      <w:r>
        <w:rPr>
          <w:rFonts w:ascii="Cambria" w:hAnsi="Cambria"/>
          <w:b w:val="0"/>
          <w:i w:val="0"/>
          <w:color w:val="141A21"/>
          <w:sz w:val="22"/>
        </w:rPr>
        <w:t>Faisons un rapide focus sur quelques cas les plus répandus :</w:t>
      </w:r>
    </w:p>
    <w:p>
      <w:pPr>
        <w:spacing w:before="0" w:after="180" w:line="264" w:lineRule="auto"/>
        <w:ind w:firstLine="340"/>
        <w:jc w:val="both"/>
      </w:pPr>
      <w:r>
        <w:rPr>
          <w:rFonts w:ascii="Cambria" w:hAnsi="Cambria"/>
          <w:b w:val="0"/>
          <w:i w:val="0"/>
          <w:color w:val="141A21"/>
          <w:sz w:val="22"/>
        </w:rPr>
        <w:t>Si l’employeur fourni gratuitement la nourriture à ses salariés, il en résulte pour ceux-ci un avantage en nature qui doit être compris dans leur revenu imposable, ainsi que le prélèvement par un salarié, pour les besoins de sa famille, de produits d’alimentation générale appartenant à l’entreprise qui l’emploi, même si les produits sont des échantillons gratuits remis à l’entreprise par ses fournisseurs. En revanche, la fourniture de repas résultant d’une obligation professionnelle ou pris par nécessité de service (personnel de surveillance de cantines) n’est pas considéré comme un avantage en nature ;</w:t>
      </w:r>
    </w:p>
    <w:p>
      <w:pPr>
        <w:spacing w:before="0" w:after="180" w:line="264" w:lineRule="auto"/>
        <w:ind w:firstLine="340"/>
        <w:jc w:val="both"/>
      </w:pPr>
      <w:r>
        <w:rPr>
          <w:rFonts w:ascii="Cambria" w:hAnsi="Cambria"/>
          <w:b w:val="0"/>
          <w:i w:val="0"/>
          <w:color w:val="141A21"/>
          <w:sz w:val="22"/>
        </w:rPr>
        <w:t>La mise à disposition du salarié par son employeur de façon permanente d’un véhicule professionnel, constitue un avantage en nature imposable pour l’utilisation privé du véhicule notamment pendant les week-ends et période de congés comme par exemple la mise à disposition pour les moniteurs d’auto-école de véhicule d’enseignement servant à effectuer le trajet entre le lieu de leur domicile et le siège de leur entreprise. Lorsque la mise à disposition permanente du véhicule est assortie d’une interdiction expresse par l’employeur d’utiliser le véhicule en dehors du temps de travail, sous réserve d’être réelle et respectée, l’absence d’avantage en nature peut être justifiée ;</w:t>
      </w:r>
    </w:p>
    <w:p>
      <w:pPr>
        <w:spacing w:before="0" w:after="180" w:line="264" w:lineRule="auto"/>
        <w:ind w:firstLine="340"/>
        <w:jc w:val="both"/>
      </w:pPr>
      <w:r>
        <w:rPr>
          <w:rFonts w:ascii="Cambria" w:hAnsi="Cambria"/>
          <w:b w:val="0"/>
          <w:i w:val="0"/>
          <w:color w:val="141A21"/>
          <w:sz w:val="22"/>
        </w:rPr>
        <w:t>La fourniture gratuite, ou a prix réduit, d’un logement forme un avantage en nature imposable, même lorsqu’il s’agit d’un logement de service ou de fonction imposé au salarié et lui occasionnant des frais, quand bien même il aurait conservé son domicile personnel. En revanche n’est pas imposable le logement mis à la disposition du personnel de gendarmerie ainsi que les dortoirs ou baraquements fournis par les entreprises de construction à leurs ouvriers ;</w:t>
      </w:r>
    </w:p>
    <w:p>
      <w:pPr>
        <w:spacing w:before="0" w:after="180" w:line="264" w:lineRule="auto"/>
        <w:ind w:firstLine="340"/>
        <w:jc w:val="both"/>
      </w:pPr>
      <w:r>
        <w:rPr>
          <w:rFonts w:ascii="Cambria" w:hAnsi="Cambria"/>
          <w:b w:val="0"/>
          <w:i w:val="0"/>
          <w:color w:val="141A21"/>
          <w:sz w:val="22"/>
        </w:rPr>
        <w:t>En principe, l’utilisation à titre privé, par les salariés, d’outils issus des nouvelles technologies d’information et de communisation mis à leur disposition par l’employeur constitue un avantage en nature. Toutefois cet avantage est négligé lorsqu’il correspond à l’utilisation raisonnable de ces outils pour la vie quotidienne dont l’emploi est justifié par les besoins ordinaires de la vie professionnelle et familiale ;</w:t>
      </w:r>
    </w:p>
    <w:p>
      <w:pPr>
        <w:spacing w:before="0" w:after="180" w:line="264" w:lineRule="auto"/>
        <w:ind w:firstLine="340"/>
        <w:jc w:val="both"/>
      </w:pPr>
      <w:r>
        <w:rPr>
          <w:rFonts w:ascii="Cambria" w:hAnsi="Cambria"/>
          <w:b w:val="0"/>
          <w:i w:val="0"/>
          <w:color w:val="141A21"/>
          <w:sz w:val="22"/>
        </w:rPr>
        <w:t>La fourniture gratuite ou à prix réduit de produits fabriqués dans l’entreprise, du chauffage ou de l’éclairage constitue en principe un avantage en nature imposable. Aucun avantage en nature n’est retenu si la réduction tarifaire n’excède pas 30% du prix public TTC pratiqué par l’employeur pour le même produit ou service vendu à un consommateur non salarié de l’entreprise ;</w:t>
      </w:r>
    </w:p>
    <w:p>
      <w:pPr>
        <w:spacing w:before="0" w:after="180" w:line="264" w:lineRule="auto"/>
        <w:ind w:firstLine="340"/>
        <w:jc w:val="both"/>
      </w:pPr>
      <w:r>
        <w:rPr>
          <w:rFonts w:ascii="Cambria" w:hAnsi="Cambria"/>
          <w:b w:val="0"/>
          <w:i w:val="0"/>
          <w:color w:val="141A21"/>
          <w:sz w:val="22"/>
        </w:rPr>
        <w:t>Les indemnités ou gratifications allouées au salarié pour couvrir ses dépenses personnelles comme les cotisations à des régimes obligatoires de prévoyance complémentaire garantissant les frais de santé ainsi que les cotisations de retraite complémentaire excédant les plafonds de déduction prévus par la loi ;</w:t>
      </w:r>
    </w:p>
    <w:p>
      <w:pPr>
        <w:spacing w:before="0" w:after="180" w:line="264" w:lineRule="auto"/>
        <w:ind w:firstLine="340"/>
        <w:jc w:val="both"/>
      </w:pPr>
      <w:r>
        <w:rPr>
          <w:rFonts w:ascii="Cambria" w:hAnsi="Cambria"/>
          <w:b w:val="0"/>
          <w:i w:val="0"/>
          <w:color w:val="141A21"/>
          <w:sz w:val="22"/>
        </w:rPr>
        <w:t>L’attribution d’actions à un dirigeant en dehors du cadre légal des stock-options, les primes d’assurance vie prises en charges par l’entreprise, le prêt sans intérêt consenti par l’employeur au salarié, les intérêts non réclamés sur un solde de compte courant ouvert à son nom par le salarié dans la société, les frais de déplacement non justifiés ;</w:t>
      </w:r>
    </w:p>
    <w:p>
      <w:pPr>
        <w:spacing w:before="0" w:after="180" w:line="264" w:lineRule="auto"/>
        <w:ind w:firstLine="340"/>
        <w:jc w:val="both"/>
      </w:pPr>
      <w:r>
        <w:rPr>
          <w:rFonts w:ascii="Cambria" w:hAnsi="Cambria"/>
          <w:b w:val="0"/>
          <w:i w:val="0"/>
          <w:color w:val="141A21"/>
          <w:sz w:val="22"/>
        </w:rPr>
        <w:t>Les remboursements de frais professionnels ne constituent pas, en principe, un élément imposable. Le régime des frais professionnels est le même pour tous les salariés, qu’ils soient ou non dirigeants. Pour échapper à l’impôt, les remboursements doivent tout d’abord couvrir des dépenses strictement inhérentes à la fonction ou à l’emploi et correspondre à des dépenses réelles si les bénéficiaires sont en mesure d’apporter des justifications suffisantes quant à leur raison d’être et quant à leur emploi. Leur nature n’étant pas précisée par la loi, le salarié, à qui incombe la charge de la preuve, peut recourir à tous les modes de preuve compatibles avec la procédure écrite</w:t>
      </w:r>
    </w:p>
    <w:p>
      <w:pPr>
        <w:spacing w:before="0" w:after="180" w:line="264" w:lineRule="auto"/>
        <w:ind w:firstLine="340"/>
        <w:jc w:val="both"/>
      </w:pPr>
      <w:r>
        <w:rPr>
          <w:rFonts w:ascii="Cambria" w:hAnsi="Cambria"/>
          <w:b w:val="0"/>
          <w:i w:val="0"/>
          <w:color w:val="141A21"/>
          <w:sz w:val="22"/>
        </w:rPr>
        <w:t>La CSG elle est différente en fonction des revenus et en plus une partie est déductible sur les prochains impôts de l’année suivante (c’est simple).</w:t>
      </w:r>
    </w:p>
    <w:p>
      <w:pPr>
        <w:spacing w:before="0" w:after="180" w:line="264" w:lineRule="auto"/>
        <w:ind w:firstLine="340"/>
        <w:jc w:val="both"/>
      </w:pPr>
      <w:r>
        <w:rPr>
          <w:rFonts w:ascii="Cambria" w:hAnsi="Cambria"/>
          <w:b w:val="0"/>
          <w:i w:val="0"/>
          <w:color w:val="141A21"/>
          <w:sz w:val="22"/>
        </w:rPr>
        <w:t>Quelques exemples non exhaustifs :</w:t>
      </w:r>
    </w:p>
    <w:p>
      <w:pPr>
        <w:spacing w:before="0" w:after="180" w:line="264" w:lineRule="auto"/>
        <w:ind w:firstLine="340"/>
        <w:jc w:val="both"/>
      </w:pPr>
      <w:r>
        <w:rPr>
          <w:rFonts w:ascii="Cambria" w:hAnsi="Cambria"/>
          <w:b w:val="0"/>
          <w:i w:val="0"/>
          <w:color w:val="141A21"/>
          <w:sz w:val="22"/>
        </w:rPr>
        <w:t>Revenus d’activités : salaires, primes, intéressements, avantages en nature, pension de retraite de préretraite et d’invalidité = le taux de CSG CRDS est de 9,7% dont 6,8% déductibles sur ces revenus.</w:t>
      </w:r>
    </w:p>
    <w:p>
      <w:pPr>
        <w:spacing w:before="0" w:after="180" w:line="264" w:lineRule="auto"/>
        <w:ind w:firstLine="340"/>
        <w:jc w:val="both"/>
      </w:pPr>
      <w:r>
        <w:rPr>
          <w:rFonts w:ascii="Cambria" w:hAnsi="Cambria"/>
          <w:b w:val="0"/>
          <w:i w:val="0"/>
          <w:color w:val="141A21"/>
          <w:sz w:val="22"/>
        </w:rPr>
        <w:t>Revenus du patrimoine : revenus fonciers, plus-values sur titres, plus-values professionnelles à long terme, BIC non professionnel, BNC non professionnels, BA non professionnels et revenus réputés libérés = le taux de CSG CRDS est de 17,2% dont 6,8% déductibles sur ces revenus</w:t>
      </w:r>
    </w:p>
    <w:p>
      <w:pPr>
        <w:pStyle w:val="Heading3"/>
        <w:spacing w:before="400" w:after="100" w:line="276" w:lineRule="auto"/>
      </w:pPr>
      <w:r>
        <w:rPr>
          <w:rFonts w:ascii="Calibri" w:hAnsi="Calibri"/>
          <w:b/>
          <w:i w:val="0"/>
          <w:color w:val="141A21"/>
          <w:sz w:val="27"/>
        </w:rPr>
        <w:t>Le CITE et le dispositif Pinel</w:t>
      </w:r>
    </w:p>
    <w:p>
      <w:pPr>
        <w:spacing w:before="0" w:after="180" w:line="264" w:lineRule="auto"/>
        <w:jc w:val="both"/>
      </w:pPr>
      <w:r>
        <w:rPr>
          <w:rFonts w:ascii="Cambria" w:hAnsi="Cambria"/>
          <w:b w:val="0"/>
          <w:i w:val="0"/>
          <w:color w:val="141A21"/>
          <w:sz w:val="22"/>
        </w:rPr>
        <w:t>Je ne développerai que des exemples liés à l’entrepreneuriat, de ce fait et bien que cela touche à l’immobilier qui est un de mes domaines de prédilection, nous ne pouvons que constater l’exclusion du bénéfice du CITE (crédit d’impôt pour la transition énergétique) à compter du 1er janvier 2018, des chaudière à fioul et des parois vitrées, volets isolants et porte d’entrée donnant sur l’extérieur. Quelques aménagements sont prévus pour les contribuables qui auraient accepté des devis et versé des acomptes sur l’installation de ces biens avant le 1er janvier 2018, ils pourraient bénéficier du maintien de ce créditer si le solde de la facture est réglé avant le 1er janvier 2019.</w:t>
      </w:r>
    </w:p>
    <w:p>
      <w:pPr>
        <w:spacing w:before="0" w:after="180" w:line="264" w:lineRule="auto"/>
        <w:ind w:firstLine="340"/>
        <w:jc w:val="both"/>
      </w:pPr>
      <w:r>
        <w:rPr>
          <w:rFonts w:ascii="Cambria" w:hAnsi="Cambria"/>
          <w:b w:val="0"/>
          <w:i w:val="0"/>
          <w:color w:val="141A21"/>
          <w:sz w:val="22"/>
        </w:rPr>
        <w:t>Le taux du crédit d’import passe de 30% à 15% sauf pour les équipements de raccordement à des réseaux de chaleur ou de froid alimentés essentiellement par énergies renouvelables ou de récupération ou cogénération.</w:t>
      </w:r>
    </w:p>
    <w:p>
      <w:pPr>
        <w:spacing w:before="0" w:after="180" w:line="264" w:lineRule="auto"/>
        <w:ind w:firstLine="340"/>
        <w:jc w:val="both"/>
      </w:pPr>
      <w:r>
        <w:rPr>
          <w:rFonts w:ascii="Cambria" w:hAnsi="Cambria"/>
          <w:b w:val="0"/>
          <w:i w:val="0"/>
          <w:color w:val="141A21"/>
          <w:sz w:val="22"/>
        </w:rPr>
        <w:t>Petit focus sur le dispositif PINEL (réduction d’impôt en faveur de l’investissement locatif intermédiaire dans des zones géographiques éligibles), qui est prorogé jusqu’au 31 décembre 2021. Cette prolongation est certainement liée à l’engouement des français pour ce dispositif car il semblerait qu’on constate une forte évolution :</w:t>
      </w:r>
    </w:p>
    <w:p>
      <w:pPr>
        <w:spacing w:before="0" w:after="180" w:line="264" w:lineRule="auto"/>
        <w:ind w:firstLine="340"/>
        <w:jc w:val="both"/>
      </w:pPr>
      <w:r>
        <w:rPr>
          <w:rFonts w:ascii="Cambria" w:hAnsi="Cambria"/>
          <w:b w:val="0"/>
          <w:i w:val="0"/>
          <w:color w:val="141A21"/>
          <w:sz w:val="22"/>
        </w:rPr>
        <w:t>2014, 7 106 ménages bénéficiaires pour un investissement de 20 millions d’euros,</w:t>
      </w:r>
    </w:p>
    <w:p>
      <w:pPr>
        <w:spacing w:before="0" w:after="180" w:line="264" w:lineRule="auto"/>
        <w:ind w:firstLine="340"/>
        <w:jc w:val="both"/>
      </w:pPr>
      <w:r>
        <w:rPr>
          <w:rFonts w:ascii="Cambria" w:hAnsi="Cambria"/>
          <w:b w:val="0"/>
          <w:i w:val="0"/>
          <w:color w:val="141A21"/>
          <w:sz w:val="22"/>
        </w:rPr>
        <w:t>2015, 25 307 ménages bénéficiaires pour un investissement de 77 millions d’euros,</w:t>
      </w:r>
    </w:p>
    <w:p>
      <w:pPr>
        <w:spacing w:before="0" w:after="180" w:line="264" w:lineRule="auto"/>
        <w:ind w:firstLine="340"/>
        <w:jc w:val="both"/>
      </w:pPr>
      <w:r>
        <w:rPr>
          <w:rFonts w:ascii="Cambria" w:hAnsi="Cambria"/>
          <w:b w:val="0"/>
          <w:i w:val="0"/>
          <w:color w:val="141A21"/>
          <w:sz w:val="22"/>
        </w:rPr>
        <w:t>2016, 59 044 ménages bénéficiaires pour un investissement de 191 millions d’euros,</w:t>
      </w:r>
    </w:p>
    <w:p>
      <w:pPr>
        <w:spacing w:before="0" w:after="180" w:line="264" w:lineRule="auto"/>
        <w:ind w:firstLine="340"/>
        <w:jc w:val="both"/>
      </w:pPr>
      <w:r>
        <w:rPr>
          <w:rFonts w:ascii="Cambria" w:hAnsi="Cambria"/>
          <w:b w:val="0"/>
          <w:i w:val="0"/>
          <w:color w:val="141A21"/>
          <w:sz w:val="22"/>
        </w:rPr>
        <w:t>Il semblerait qu’en 2017, plus de 350 millions d’euros aient été investis via ce dispositif d’ou le maintien du dispositif car l’Etat ne parvient pas à satisfaire la demande de logements sans passer par l’investissement privé, et cela nous arrange</w:t>
      </w:r>
    </w:p>
    <w:p>
      <w:pPr>
        <w:spacing w:before="0" w:after="180" w:line="264" w:lineRule="auto"/>
        <w:ind w:firstLine="340"/>
        <w:jc w:val="both"/>
      </w:pPr>
      <w:r>
        <w:rPr>
          <w:rFonts w:ascii="Cambria" w:hAnsi="Cambria"/>
          <w:b w:val="0"/>
          <w:i w:val="0"/>
          <w:color w:val="141A21"/>
          <w:sz w:val="22"/>
        </w:rPr>
        <w:t>Un peu de technique :</w:t>
      </w:r>
    </w:p>
    <w:p>
      <w:pPr>
        <w:spacing w:before="0" w:after="180" w:line="264" w:lineRule="auto"/>
        <w:ind w:firstLine="340"/>
        <w:jc w:val="both"/>
      </w:pPr>
      <w:r>
        <w:rPr>
          <w:rFonts w:ascii="Cambria" w:hAnsi="Cambria"/>
          <w:b w:val="0"/>
          <w:i w:val="0"/>
          <w:color w:val="141A21"/>
          <w:sz w:val="22"/>
        </w:rPr>
        <w:t>La réduction d’impôt en faveur de l’investissement locatif intermédiaire, dit dispositif PINEL du nom de la ministre en charge du logement sous la mandature du Président de la République François HOLLANDE, a été prorogée jusqu’au 31 décembre 2021 pour les investissements réalisés jusqu'à cette date mais certaines conditions ont été changées.</w:t>
      </w:r>
    </w:p>
    <w:p>
      <w:pPr>
        <w:spacing w:before="0" w:after="180" w:line="264" w:lineRule="auto"/>
        <w:ind w:firstLine="340"/>
        <w:jc w:val="both"/>
      </w:pPr>
      <w:r>
        <w:rPr>
          <w:rFonts w:ascii="Cambria" w:hAnsi="Cambria"/>
          <w:b w:val="0"/>
          <w:i w:val="0"/>
          <w:color w:val="141A21"/>
          <w:sz w:val="22"/>
        </w:rPr>
        <w:t>La réduction d’impôt PINEL pourra bénéficiée :</w:t>
      </w:r>
    </w:p>
    <w:p>
      <w:pPr>
        <w:spacing w:before="0" w:after="180" w:line="264" w:lineRule="auto"/>
        <w:ind w:firstLine="340"/>
        <w:jc w:val="both"/>
      </w:pPr>
      <w:r>
        <w:rPr>
          <w:rFonts w:ascii="Cambria" w:hAnsi="Cambria"/>
          <w:b w:val="0"/>
          <w:i w:val="0"/>
          <w:color w:val="141A21"/>
          <w:sz w:val="22"/>
        </w:rPr>
        <w:t>aux acquisitions entre le 1er janvier 2013 et le 31 décembre 2021, d’un logement neuf ou en état futur d’achèvement en application du code général des impôts en son article 199 novovicies A modifié;</w:t>
      </w:r>
    </w:p>
    <w:p>
      <w:pPr>
        <w:spacing w:before="0" w:after="180" w:line="264" w:lineRule="auto"/>
        <w:ind w:firstLine="340"/>
        <w:jc w:val="both"/>
      </w:pPr>
      <w:r>
        <w:rPr>
          <w:rFonts w:ascii="Cambria" w:hAnsi="Cambria"/>
          <w:b w:val="0"/>
          <w:i w:val="0"/>
          <w:color w:val="141A21"/>
          <w:sz w:val="22"/>
        </w:rPr>
        <w:t>aux logements que le contribuable fait construire et qui font l’objet d’un dépôt de demande de permis de construire entre le 1er janvier 2013 et le 31 décembre 2021 en application de code général des impôts en son article 199 novovicies B 1er modifié ;</w:t>
      </w:r>
    </w:p>
    <w:p>
      <w:pPr>
        <w:spacing w:before="0" w:after="180" w:line="264" w:lineRule="auto"/>
        <w:ind w:firstLine="340"/>
        <w:jc w:val="both"/>
      </w:pPr>
      <w:r>
        <w:rPr>
          <w:rFonts w:ascii="Cambria" w:hAnsi="Cambria"/>
          <w:b w:val="0"/>
          <w:i w:val="0"/>
          <w:color w:val="141A21"/>
          <w:sz w:val="22"/>
        </w:rPr>
        <w:t>aux logements que le contribuable acquiert entre le 1er janvier 2013 et le 31 décembre 2021 et qui font ou qui ont fait l’objet de travaux concourant à la production ou à la livraison d’un immeuble neuf en application de code général des impôts en son article 199 novovicies B 2ème modifié ;</w:t>
      </w:r>
    </w:p>
    <w:p>
      <w:pPr>
        <w:spacing w:before="0" w:after="180" w:line="264" w:lineRule="auto"/>
        <w:ind w:firstLine="340"/>
        <w:jc w:val="both"/>
      </w:pPr>
      <w:r>
        <w:rPr>
          <w:rFonts w:ascii="Cambria" w:hAnsi="Cambria"/>
          <w:b w:val="0"/>
          <w:i w:val="0"/>
          <w:color w:val="141A21"/>
          <w:sz w:val="22"/>
        </w:rPr>
        <w:t>aux logements qui ne satisfont pas aux caractéristiques de décence, que le contribuable acquière entre le 1er janvier 2013 et le 31 décembre 2021 et qui font ou qui ont fait l’objet de travaux de réhabilitation, défini par décret, permettant au logement d’acquérir des performances techniques voisines de celles d’un logement neuf en application de code général des impôts en son article 199 novovicies B 3ème modifié ;</w:t>
      </w:r>
    </w:p>
    <w:p>
      <w:pPr>
        <w:spacing w:before="0" w:after="180" w:line="264" w:lineRule="auto"/>
        <w:ind w:firstLine="340"/>
        <w:jc w:val="both"/>
      </w:pPr>
      <w:r>
        <w:rPr>
          <w:rFonts w:ascii="Cambria" w:hAnsi="Cambria"/>
          <w:b w:val="0"/>
          <w:i w:val="0"/>
          <w:color w:val="141A21"/>
          <w:sz w:val="22"/>
        </w:rPr>
        <w:t>aux locaux affectés à un usage autre que l’habitation que le contribuable acquiert entre le 1er janvier 2013 et le 31 décembre 2021 et qui font ou qui ont fait l’objet de travaux de transformation en logement en application de code général des impôts en son article 199 novovicies B 4ème modifié ;</w:t>
      </w:r>
    </w:p>
    <w:p>
      <w:pPr>
        <w:spacing w:before="0" w:after="180" w:line="264" w:lineRule="auto"/>
        <w:ind w:firstLine="340"/>
        <w:jc w:val="both"/>
      </w:pPr>
      <w:r>
        <w:rPr>
          <w:rFonts w:ascii="Cambria" w:hAnsi="Cambria"/>
          <w:b w:val="0"/>
          <w:i w:val="0"/>
          <w:color w:val="141A21"/>
          <w:sz w:val="22"/>
        </w:rPr>
        <w:t>le champ d’application territorial du diapositif a été largement restreint puisqu’il couvre dorénavant les investissements effectués dans les zones A, Abis et B1 et dans les communes dont le territoire est couvert par un contrat de redynamisation de site de défense en application de code général des impôts en son article 199 novovicies IV modifié ; en effet pour ce dernier cas le législateur a aider l’investissement dans des zones géographiques où l’Etat a effectué la fermeture de sites militaire ce qui entraine la suppression de nombreux emplois en lien avec l’activité de défense nationale. Ces zones bénéficient ainsi de financements dédiés, visant la réhabilitation du foncier des anciens bâtiments militaires.</w:t>
      </w:r>
    </w:p>
    <w:p>
      <w:pPr>
        <w:spacing w:before="0" w:after="180" w:line="264" w:lineRule="auto"/>
        <w:ind w:firstLine="340"/>
        <w:jc w:val="both"/>
      </w:pPr>
      <w:r>
        <w:rPr>
          <w:rFonts w:ascii="Cambria" w:hAnsi="Cambria"/>
          <w:b w:val="0"/>
          <w:i w:val="0"/>
          <w:color w:val="141A21"/>
          <w:sz w:val="22"/>
        </w:rPr>
        <w:t>Les nouvelles modalités s’appliquent aux acquisition et aux dépôts de demandes de permis de construire de logements que le contribuable fait construire, postérieurs au 31 décembre 2017. Une mesure d’exception est néanmoins actée pour les demandes de permis de construire déposés au plus tard le 31 décembre 2017 et que la construction soit réalisée au plus tard le 31 décembre 2018.</w:t>
      </w:r>
    </w:p>
    <w:p>
      <w:pPr>
        <w:spacing w:before="0" w:after="180" w:line="264" w:lineRule="auto"/>
        <w:ind w:firstLine="340"/>
        <w:jc w:val="both"/>
      </w:pPr>
      <w:r>
        <w:rPr>
          <w:rFonts w:ascii="Cambria" w:hAnsi="Cambria"/>
          <w:b w:val="0"/>
          <w:i w:val="0"/>
          <w:color w:val="141A21"/>
          <w:sz w:val="22"/>
        </w:rPr>
        <w:t>Le législateur a voulu lutter contre la pratique de certains intermédiaires qui profitaient du fait de ce dispositif fiscal attractif, pour renchérir le cout des investissements. Un dispositif anti-abus a été prévu dans la loi de finance 2018 en son article 68, I, 1°, d. en conséquence, le montant des frais et commissions des intermédiaires au titre d’une même acquisition de logement ouvrant droit au dispositif PINEL ne pourra excéder un plafond exprime en pourcentage du prix de revient et fixé par décret. Tout dépassement du plafond sera passible d’une amende dont le montant ne pourra excéder dix fois le montant de ses frais indûment perçus. Cette mesure rentre en vigueur le 1er janvier 2018 mais son application effective est en attente de la publication du décret fixant le montant du plafond et au moment ou ces lignes sont rédigées le rédacteur ne possède les informations indiquant ces taux.</w:t>
      </w:r>
    </w:p>
    <w:p>
      <w:pPr>
        <w:spacing w:before="0" w:after="180" w:line="264" w:lineRule="auto"/>
        <w:ind w:firstLine="340"/>
        <w:jc w:val="both"/>
      </w:pPr>
      <w:r>
        <w:rPr>
          <w:rFonts w:ascii="Cambria" w:hAnsi="Cambria"/>
          <w:b w:val="0"/>
          <w:i w:val="0"/>
          <w:color w:val="141A21"/>
          <w:sz w:val="22"/>
        </w:rPr>
        <w:t>Le gouvernement remettra au parlement avant le 1er septembre 2018 un rapport portant sur l’évaluation des zones géographiques établies pour déterminer l’éligibilité au dispositif PINEL et avant le 1er septembre 2019, un rapport d’évaluation du dispositif PINEL.</w:t>
      </w:r>
    </w:p>
    <w:p>
      <w:pPr>
        <w:pStyle w:val="Heading3"/>
        <w:spacing w:before="400" w:after="100" w:line="276" w:lineRule="auto"/>
      </w:pPr>
      <w:r>
        <w:rPr>
          <w:rFonts w:ascii="Calibri" w:hAnsi="Calibri"/>
          <w:b/>
          <w:i w:val="0"/>
          <w:color w:val="141A21"/>
          <w:sz w:val="27"/>
        </w:rPr>
        <w:t>Le prélèvement à la source</w:t>
      </w:r>
    </w:p>
    <w:p>
      <w:pPr>
        <w:spacing w:before="0" w:after="180" w:line="264" w:lineRule="auto"/>
        <w:jc w:val="both"/>
      </w:pPr>
      <w:r>
        <w:rPr>
          <w:rFonts w:ascii="Cambria" w:hAnsi="Cambria"/>
          <w:b w:val="0"/>
          <w:i w:val="0"/>
          <w:color w:val="141A21"/>
          <w:sz w:val="22"/>
        </w:rPr>
        <w:t>Une autre des réformes emblématiques de cette loi de finance en son article 69, celle de l’aménagement du prélèvement à la source (PAS) de l’impôt sur le revenu et des prélèvements sociaux concernant les revenus perçus ou réalisé à compter du 1er janvier 2019. Tout a commencé en juin 2017 lorsque le ministre de l’action et des comptes publics, Gerald DARMANIN, a confié à l’inspection générale des finances (IGF) une mission d’évaluation des charges induites par la réforme du PAS et de la robustesse de la réforme. L’IGS a proposé une série de 15 mesures visant a faciliter sa mise en œuvre</w:t>
      </w:r>
    </w:p>
    <w:p>
      <w:pPr>
        <w:spacing w:before="0" w:after="180" w:line="264" w:lineRule="auto"/>
        <w:ind w:firstLine="340"/>
        <w:jc w:val="both"/>
      </w:pPr>
      <w:r>
        <w:rPr>
          <w:rFonts w:ascii="Cambria" w:hAnsi="Cambria"/>
          <w:b w:val="0"/>
          <w:i w:val="0"/>
          <w:color w:val="141A21"/>
          <w:sz w:val="22"/>
        </w:rPr>
        <w:t>La seconde loi de finances rectificative 2017du 28 décembre 2017 aménage le PAS pour tenir compte des travaux de l’IGS, dans son article 11, pour s’articuler autour de trois axes :</w:t>
      </w:r>
    </w:p>
    <w:p>
      <w:pPr>
        <w:spacing w:before="0" w:after="180" w:line="264" w:lineRule="auto"/>
        <w:ind w:firstLine="340"/>
        <w:jc w:val="both"/>
      </w:pPr>
      <w:r>
        <w:rPr>
          <w:rFonts w:ascii="Cambria" w:hAnsi="Cambria"/>
          <w:b w:val="0"/>
          <w:i w:val="0"/>
          <w:color w:val="141A21"/>
          <w:sz w:val="22"/>
        </w:rPr>
        <w:t>Conforter l’intérêt du PAS auprès des contribuables ;</w:t>
      </w:r>
    </w:p>
    <w:p>
      <w:pPr>
        <w:spacing w:before="0" w:after="180" w:line="264" w:lineRule="auto"/>
        <w:ind w:firstLine="340"/>
        <w:jc w:val="both"/>
      </w:pPr>
      <w:r>
        <w:rPr>
          <w:rFonts w:ascii="Cambria" w:hAnsi="Cambria"/>
          <w:b w:val="0"/>
          <w:i w:val="0"/>
          <w:color w:val="141A21"/>
          <w:sz w:val="22"/>
        </w:rPr>
        <w:t>Alléger les modalités et les règles de collecte, notamment pour les entreprises ;</w:t>
      </w:r>
    </w:p>
    <w:p>
      <w:pPr>
        <w:spacing w:before="0" w:after="180" w:line="264" w:lineRule="auto"/>
        <w:ind w:firstLine="340"/>
        <w:jc w:val="both"/>
      </w:pPr>
      <w:r>
        <w:rPr>
          <w:rFonts w:ascii="Cambria" w:hAnsi="Cambria"/>
          <w:b w:val="0"/>
          <w:i w:val="0"/>
          <w:color w:val="141A21"/>
          <w:sz w:val="22"/>
        </w:rPr>
        <w:t>Sécuriser le déploiement de la réforme ;</w:t>
      </w:r>
    </w:p>
    <w:p>
      <w:pPr>
        <w:spacing w:before="0" w:after="180" w:line="264" w:lineRule="auto"/>
        <w:ind w:firstLine="340"/>
        <w:jc w:val="both"/>
      </w:pPr>
      <w:r>
        <w:rPr>
          <w:rFonts w:ascii="Cambria" w:hAnsi="Cambria"/>
          <w:b w:val="0"/>
          <w:i w:val="0"/>
          <w:color w:val="141A21"/>
          <w:sz w:val="22"/>
        </w:rPr>
        <w:t>Penchons nous sur quelques points.</w:t>
      </w:r>
    </w:p>
    <w:p>
      <w:pPr>
        <w:spacing w:before="0" w:after="180" w:line="264" w:lineRule="auto"/>
        <w:ind w:firstLine="340"/>
        <w:jc w:val="both"/>
      </w:pPr>
      <w:r>
        <w:rPr>
          <w:rFonts w:ascii="Cambria" w:hAnsi="Cambria"/>
          <w:b w:val="0"/>
          <w:i w:val="0"/>
          <w:color w:val="141A21"/>
          <w:sz w:val="22"/>
        </w:rPr>
        <w:t>1)</w:t>
      </w:r>
    </w:p>
    <w:p>
      <w:pPr>
        <w:spacing w:before="0" w:after="180" w:line="264" w:lineRule="auto"/>
        <w:ind w:firstLine="340"/>
        <w:jc w:val="both"/>
      </w:pPr>
      <w:r>
        <w:rPr>
          <w:rFonts w:ascii="Cambria" w:hAnsi="Cambria"/>
          <w:b w:val="0"/>
          <w:i w:val="0"/>
          <w:color w:val="141A21"/>
          <w:sz w:val="22"/>
        </w:rPr>
        <w:t>Certaines mesures sont issues de l’analyse de certaines professions comme les assistantes maternelles ou les journalistes. En effet ces 2 professions bénéficient d’abattements spécifiques. Prenons rapidement comme exemple le cas des assistantes maternelles. Elles bénéficient d’un abattement sur les sommes versés par les parents correspondant à de la rémunération et à des frais d’entretien et d‘hébergement des enfants. Les abattements varient en fonction du nombre d’enfants gardés et du nombre de jours de garde. Ces éléments ne peuvent être connus par chaque parent lors de l’émission du bulletin de paie de l’assistante. De ce fait des lignes spécifiques seront créer dans la déclaration de revenus n° 2042. Le thème principal de cet ouvrage n’étant pas la fiscalité je n’en développerai pas plus précisément les autres cas.</w:t>
      </w:r>
    </w:p>
    <w:p>
      <w:pPr>
        <w:spacing w:before="0" w:after="180" w:line="264" w:lineRule="auto"/>
        <w:ind w:firstLine="340"/>
        <w:jc w:val="both"/>
      </w:pPr>
      <w:r>
        <w:rPr>
          <w:rFonts w:ascii="Cambria" w:hAnsi="Cambria"/>
          <w:b w:val="0"/>
          <w:i w:val="0"/>
          <w:color w:val="141A21"/>
          <w:sz w:val="22"/>
        </w:rPr>
        <w:t>Pour les autres cas, prenons un exemple :</w:t>
      </w:r>
    </w:p>
    <w:p>
      <w:pPr>
        <w:spacing w:before="0" w:after="180" w:line="264" w:lineRule="auto"/>
        <w:ind w:firstLine="340"/>
        <w:jc w:val="both"/>
      </w:pPr>
      <w:r>
        <w:rPr>
          <w:rFonts w:ascii="Cambria" w:hAnsi="Cambria"/>
          <w:b w:val="0"/>
          <w:i w:val="0"/>
          <w:color w:val="141A21"/>
          <w:sz w:val="22"/>
        </w:rPr>
        <w:t>Une personne perçoit une rémunération annuelle de 22.350€.</w:t>
      </w:r>
    </w:p>
    <w:p>
      <w:pPr>
        <w:spacing w:before="0" w:after="180" w:line="264" w:lineRule="auto"/>
        <w:ind w:firstLine="340"/>
        <w:jc w:val="both"/>
      </w:pPr>
      <w:r>
        <w:rPr>
          <w:rFonts w:ascii="Cambria" w:hAnsi="Cambria"/>
          <w:b w:val="0"/>
          <w:i w:val="0"/>
          <w:color w:val="141A21"/>
          <w:sz w:val="22"/>
        </w:rPr>
        <w:t>D’après le barème 2017, son impôt s’élève à 1.332€</w:t>
      </w:r>
    </w:p>
    <w:p>
      <w:pPr>
        <w:spacing w:before="0" w:after="180" w:line="264" w:lineRule="auto"/>
        <w:ind w:firstLine="340"/>
        <w:jc w:val="both"/>
      </w:pPr>
      <w:r>
        <w:rPr>
          <w:rFonts w:ascii="Cambria" w:hAnsi="Cambria"/>
          <w:b w:val="0"/>
          <w:i w:val="0"/>
          <w:color w:val="141A21"/>
          <w:sz w:val="22"/>
        </w:rPr>
        <w:t>Son taux de prélèvement se détermine 1332/22350 soit 6%</w:t>
      </w:r>
    </w:p>
    <w:p>
      <w:pPr>
        <w:spacing w:before="0" w:after="180" w:line="264" w:lineRule="auto"/>
        <w:ind w:firstLine="340"/>
        <w:jc w:val="both"/>
      </w:pPr>
      <w:r>
        <w:rPr>
          <w:rFonts w:ascii="Cambria" w:hAnsi="Cambria"/>
          <w:b w:val="0"/>
          <w:i w:val="0"/>
          <w:color w:val="141A21"/>
          <w:sz w:val="22"/>
        </w:rPr>
        <w:t>Son prélèvement sera donc de 1.862,50€ de salaire mensuel x 6% = 111,75€</w:t>
      </w:r>
    </w:p>
    <w:p>
      <w:pPr>
        <w:spacing w:before="0" w:after="180" w:line="264" w:lineRule="auto"/>
        <w:ind w:firstLine="340"/>
        <w:jc w:val="both"/>
      </w:pPr>
      <w:r>
        <w:rPr>
          <w:rFonts w:ascii="Cambria" w:hAnsi="Cambria"/>
          <w:b w:val="0"/>
          <w:i w:val="0"/>
          <w:color w:val="141A21"/>
          <w:sz w:val="22"/>
        </w:rPr>
        <w:t>Le contribuable peut néanmoins moduler son taux de prélèvement en fonction de sa situation et surtout s’il connait des événements qui feront varier sa rémunération comme sa situation familiale.</w:t>
      </w:r>
    </w:p>
    <w:p>
      <w:pPr>
        <w:spacing w:before="0" w:after="180" w:line="264" w:lineRule="auto"/>
        <w:ind w:firstLine="340"/>
        <w:jc w:val="both"/>
      </w:pPr>
      <w:r>
        <w:rPr>
          <w:rFonts w:ascii="Cambria" w:hAnsi="Cambria"/>
          <w:b w:val="0"/>
          <w:i w:val="0"/>
          <w:color w:val="141A21"/>
          <w:sz w:val="22"/>
        </w:rPr>
        <w:t>Le contribuable effectuera une demande de modulation dans son espace particulier sur le site « impots.gouv.fr » dans l’application dite « GestPas ».</w:t>
      </w:r>
    </w:p>
    <w:p>
      <w:pPr>
        <w:spacing w:before="0" w:after="180" w:line="264" w:lineRule="auto"/>
        <w:ind w:firstLine="340"/>
        <w:jc w:val="both"/>
      </w:pPr>
      <w:r>
        <w:rPr>
          <w:rFonts w:ascii="Cambria" w:hAnsi="Cambria"/>
          <w:b w:val="0"/>
          <w:i w:val="0"/>
          <w:color w:val="141A21"/>
          <w:sz w:val="22"/>
        </w:rPr>
        <w:t>Des sanctions peuvent être appliquées, par une majoration de 10% de l’impôt, en cas de minoration du PAS.</w:t>
      </w:r>
    </w:p>
    <w:p>
      <w:pPr>
        <w:spacing w:before="0" w:after="180" w:line="264" w:lineRule="auto"/>
        <w:ind w:firstLine="340"/>
        <w:jc w:val="both"/>
      </w:pPr>
      <w:r>
        <w:rPr>
          <w:rFonts w:ascii="Cambria" w:hAnsi="Cambria"/>
          <w:b w:val="0"/>
          <w:i w:val="0"/>
          <w:color w:val="141A21"/>
          <w:sz w:val="22"/>
        </w:rPr>
        <w:t>La majoration de 10% s’applique lorsque la modulation est excessive (supérieure à 10%) soit parce que le contribuable de pouvait pas bénéficier du dispositif de modulation, soit parce que le PAS effectué sur le revenu est inferieur de 10% au montant du PAS qui devrait s’appliquer.</w:t>
      </w:r>
    </w:p>
    <w:p>
      <w:pPr>
        <w:spacing w:before="0" w:after="180" w:line="264" w:lineRule="auto"/>
        <w:ind w:firstLine="340"/>
        <w:jc w:val="both"/>
      </w:pPr>
      <w:r>
        <w:rPr>
          <w:rFonts w:ascii="Cambria" w:hAnsi="Cambria"/>
          <w:b w:val="0"/>
          <w:i w:val="0"/>
          <w:color w:val="141A21"/>
          <w:sz w:val="22"/>
        </w:rPr>
        <w:t>2)</w:t>
      </w:r>
    </w:p>
    <w:p>
      <w:pPr>
        <w:spacing w:before="0" w:after="180" w:line="264" w:lineRule="auto"/>
        <w:ind w:firstLine="340"/>
        <w:jc w:val="both"/>
      </w:pPr>
      <w:r>
        <w:rPr>
          <w:rFonts w:ascii="Cambria" w:hAnsi="Cambria"/>
          <w:b w:val="0"/>
          <w:i w:val="0"/>
          <w:color w:val="141A21"/>
          <w:sz w:val="22"/>
        </w:rPr>
        <w:t>La loi veut simplifier la mise en œuvre du PAS.</w:t>
      </w:r>
    </w:p>
    <w:p>
      <w:pPr>
        <w:spacing w:before="0" w:after="180" w:line="264" w:lineRule="auto"/>
        <w:ind w:firstLine="340"/>
        <w:jc w:val="both"/>
      </w:pPr>
      <w:r>
        <w:rPr>
          <w:rFonts w:ascii="Cambria" w:hAnsi="Cambria"/>
          <w:b w:val="0"/>
          <w:i w:val="0"/>
          <w:color w:val="141A21"/>
          <w:sz w:val="22"/>
        </w:rPr>
        <w:t>Certaines catégories de dirigeants d’entreprises, comme les gérants majoritaires de SARL, EURL, EIRL etc., reçoivent des rémunérations non fixes comme les autres salariés. En effet chaque mois le montant de leur rémunération peut être différent alors qu’un salarié perçoit le même salaire chaque mois. Cette situation complique la détermination du taux de prélèvement. De ce fait ce taux sera déterminé en fonction du montant de la rémunération déclarée sur la déclaration n° 2042 pour l’année 2017. Le taux permettra de retenir sur les rémunérations un « acompte contemporain » (terme indiqué dans l’article 204 C modifié par la loi de finances rectificatives 2017 en son article 11, I, A du code général des impôts). Les travailleurs indépendants peuvent opter pour un échelonnement infra-annuel.</w:t>
      </w:r>
    </w:p>
    <w:p>
      <w:pPr>
        <w:spacing w:before="0" w:after="180" w:line="264" w:lineRule="auto"/>
        <w:ind w:firstLine="340"/>
        <w:jc w:val="both"/>
      </w:pPr>
      <w:r>
        <w:rPr>
          <w:rFonts w:ascii="Cambria" w:hAnsi="Cambria"/>
          <w:b w:val="0"/>
          <w:i w:val="0"/>
          <w:color w:val="141A21"/>
          <w:sz w:val="22"/>
        </w:rPr>
        <w:t>A noter que les droits d’auteur perçus par les auteurs d’œuvres de l’esprit sont soumis à l’impôt sur le revu comme des traitements et salaires mais le contribuable peut opter à l’imposition des BNC (bénéfices non commerciaux). La loi de finances rectificatives de 2017 et par souci de simplification fait entrer l’ensemble des droits d’auteurs dans le champ de l’acompte contemporain.</w:t>
      </w:r>
    </w:p>
    <w:p>
      <w:pPr>
        <w:spacing w:before="0" w:after="180" w:line="264" w:lineRule="auto"/>
        <w:ind w:firstLine="340"/>
        <w:jc w:val="both"/>
      </w:pPr>
      <w:r>
        <w:rPr>
          <w:rFonts w:ascii="Cambria" w:hAnsi="Cambria"/>
          <w:b w:val="0"/>
          <w:i w:val="0"/>
          <w:color w:val="141A21"/>
          <w:sz w:val="22"/>
        </w:rPr>
        <w:t>Les collecteurs, et plus particulièrement les employeurs, de la retenue à la source qui versent les rémunérations selon une périodicité mensuelle, appliqueront la grille et la périodicité usuelle de versement ou le taux transmis par l’Administration, indépendamment de la période de travail effective.</w:t>
      </w:r>
    </w:p>
    <w:p>
      <w:pPr>
        <w:spacing w:before="0" w:after="180" w:line="264" w:lineRule="auto"/>
        <w:ind w:firstLine="340"/>
        <w:jc w:val="both"/>
      </w:pPr>
      <w:r>
        <w:rPr>
          <w:rFonts w:ascii="Cambria" w:hAnsi="Cambria"/>
          <w:b w:val="0"/>
          <w:i w:val="0"/>
          <w:color w:val="141A21"/>
          <w:sz w:val="22"/>
        </w:rPr>
        <w:t>Dans le cas ou la retenue à la source est calculée et effectuée mais que le collecteur ne la reverse pas à l’Administration, le collecteur est passible d’une condamnation pénale d’une amende de 1 500 €. Cette sanction est portée en cas de récidive dans les trois ans, à 3.750€ d’amende et/ou deux ans d’emprisonnement. Si le collecteur utilise le taux qui lui sera transmis par l’Administration a d’autres fins que la collecte de la retenue à la source, il pourra se voir condamné à un an d’emprisonnement et 15 000 € d’amende.</w:t>
      </w:r>
    </w:p>
    <w:p>
      <w:pPr>
        <w:spacing w:before="0" w:after="180" w:line="264" w:lineRule="auto"/>
        <w:ind w:firstLine="340"/>
        <w:jc w:val="both"/>
      </w:pPr>
      <w:r>
        <w:rPr>
          <w:rFonts w:ascii="Cambria" w:hAnsi="Cambria"/>
          <w:b w:val="0"/>
          <w:i w:val="0"/>
          <w:color w:val="141A21"/>
          <w:sz w:val="22"/>
        </w:rPr>
        <w:t>Les entreprisses n’étant pas établies dans l’union européenne ou dans un Etat faisant parti de l’accord sur l’Espace économique européen ayant conclu avec la France une convention d’assistance adminsitrative en vue de lutter contre la fraude et l’évasion fiscale ainsi qu’une convention d’assistance mutuelle en matière de recouvrement de l’impôt sont tenues de designer un représentant fiscal lorsqu’elle doivent remplir des obligations en France d’après l’article 1671 du code général des impôts. Les redevables ne peuvent designer qu’un seul et même représentant lorsqu’ils sont soumis à des obligations au titres de plusieurs impôts comme la TVA et le prélèvement à la source.</w:t>
      </w:r>
    </w:p>
    <w:p>
      <w:pPr>
        <w:spacing w:before="0" w:after="180" w:line="264" w:lineRule="auto"/>
        <w:ind w:firstLine="340"/>
        <w:jc w:val="both"/>
      </w:pPr>
      <w:r>
        <w:rPr>
          <w:rFonts w:ascii="Cambria" w:hAnsi="Cambria"/>
          <w:b w:val="0"/>
          <w:i w:val="0"/>
          <w:color w:val="141A21"/>
          <w:sz w:val="22"/>
        </w:rPr>
        <w:t>Une période de préfiguration permettant de sensibiliser les salariés concernés par le PAS sera ouverte dès le 1er septembre 2018. Cette période permettra de juger les logiciels de paie et la transmission des informations via la DSN (déclaration sociale nominative). Ceci permettra également aux contribuables d’opter pour le taux par défaut ou l’individualisation de leur taux.</w:t>
      </w:r>
    </w:p>
    <w:p>
      <w:pPr>
        <w:spacing w:before="0" w:after="180" w:line="264" w:lineRule="auto"/>
        <w:ind w:firstLine="340"/>
        <w:jc w:val="both"/>
      </w:pPr>
      <w:r>
        <w:rPr>
          <w:rFonts w:ascii="Cambria" w:hAnsi="Cambria"/>
          <w:b w:val="0"/>
          <w:i w:val="0"/>
          <w:color w:val="141A21"/>
          <w:sz w:val="22"/>
        </w:rPr>
        <w:t>Mis en place d’un régime spécifique pour les versements d’épargne retraite sur des plans d’épargne retraite populaire (PERP). Une clause anti-optimisation a été prévue dans la loi de fiances rectificative de 2017, de manière à inciter les contribuables à maintenir en 2018 un niveau de versement proche de ceux effectués habituellement. De ce fait le montant déductible en 2019 est calculé et retenu par la moyenne des versements effectués en 2018 et 2019 lorsque les versements effectués en 2018 sont inferieurs aux versements qui ont été effectués en 2017 et en 2019.</w:t>
      </w:r>
    </w:p>
    <w:p>
      <w:pPr>
        <w:spacing w:before="0" w:after="180" w:line="264" w:lineRule="auto"/>
        <w:ind w:firstLine="340"/>
        <w:jc w:val="both"/>
      </w:pPr>
      <w:r>
        <w:rPr>
          <w:rFonts w:ascii="Cambria" w:hAnsi="Cambria"/>
          <w:b w:val="0"/>
          <w:i w:val="0"/>
          <w:color w:val="141A21"/>
          <w:sz w:val="22"/>
        </w:rPr>
        <w:t>Comme je sais que c’est un peu compliqué, voila 3 exemples :</w:t>
      </w:r>
    </w:p>
    <w:p>
      <w:pPr>
        <w:spacing w:before="0" w:after="180" w:line="264" w:lineRule="auto"/>
        <w:ind w:firstLine="340"/>
        <w:jc w:val="both"/>
      </w:pPr>
      <w:r>
        <w:rPr>
          <w:rFonts w:ascii="Cambria" w:hAnsi="Cambria"/>
          <w:b w:val="0"/>
          <w:i w:val="0"/>
          <w:color w:val="141A21"/>
          <w:sz w:val="22"/>
        </w:rPr>
        <w:t>Un contribuable abonde son PERP des montants suivants : 1 600€ en 2017, 1 800 € en 2018 et 2 100€ en 2019. Le montant déductible du revenu net global est pour 2019, de 2.100€, puisque le montant versé en 2018 est supérieur à celui de 2017.</w:t>
      </w:r>
    </w:p>
    <w:p>
      <w:pPr>
        <w:spacing w:before="0" w:after="180" w:line="264" w:lineRule="auto"/>
        <w:ind w:firstLine="340"/>
        <w:jc w:val="both"/>
      </w:pPr>
      <w:r>
        <w:rPr>
          <w:rFonts w:ascii="Cambria" w:hAnsi="Cambria"/>
          <w:b w:val="0"/>
          <w:i w:val="0"/>
          <w:color w:val="141A21"/>
          <w:sz w:val="22"/>
        </w:rPr>
        <w:t>Un contribuable abonde son PERP des montants suivants : 1 900e en 2017, 1 700€ en 2018 et 1 500€ en 2019. Le montant déductible du revenu net global est pour 2019, de 1 500€, puisque le montant versé en 2018 est certes inferieur a celui de 2017 mais supérieur à celui de 2019.</w:t>
      </w:r>
    </w:p>
    <w:p>
      <w:pPr>
        <w:spacing w:before="0" w:after="180" w:line="264" w:lineRule="auto"/>
        <w:ind w:firstLine="340"/>
        <w:jc w:val="both"/>
      </w:pPr>
      <w:r>
        <w:rPr>
          <w:rFonts w:ascii="Cambria" w:hAnsi="Cambria"/>
          <w:b w:val="0"/>
          <w:i w:val="0"/>
          <w:color w:val="141A21"/>
          <w:sz w:val="22"/>
        </w:rPr>
        <w:t>Un contribuable abonde son PERP des montants suivants : 1 900€ en 2017, 1 000€ en 2018 et 1 900€ en 2019. Le montant déductible du revenu net global est pour 2019, de 1 400€, puisque le montant versé en 2018 est inferieur a celui de 2017 et également à celui de 2019, il convient donc d’effectuer la moyenne des sommes versées dans les années 2018 et 2019 ((1 000 + 1 900)/2).</w:t>
      </w:r>
    </w:p>
    <w:p>
      <w:pPr>
        <w:pStyle w:val="Heading3"/>
        <w:spacing w:before="400" w:after="100" w:line="276" w:lineRule="auto"/>
      </w:pPr>
      <w:r>
        <w:rPr>
          <w:rFonts w:ascii="Calibri" w:hAnsi="Calibri"/>
          <w:b/>
          <w:i w:val="0"/>
          <w:color w:val="141A21"/>
          <w:sz w:val="27"/>
        </w:rPr>
        <w:t>Le prélèvement forfaitaire unique (la flat tax)</w:t>
      </w:r>
    </w:p>
    <w:p>
      <w:pPr>
        <w:spacing w:before="0" w:after="180" w:line="264" w:lineRule="auto"/>
        <w:jc w:val="both"/>
      </w:pPr>
      <w:r>
        <w:rPr>
          <w:rFonts w:ascii="Cambria" w:hAnsi="Cambria"/>
          <w:b w:val="0"/>
          <w:i w:val="0"/>
          <w:color w:val="141A21"/>
          <w:sz w:val="22"/>
        </w:rPr>
        <w:t>La mise en place d’un prélèvement forfaitaire unique d’imposition des revenus de capitaux mobiliers et des plus-values des particuliers de 30 % a réformé en profondeur cette imposition par l’article 28 de la loi de finances pour 2018..</w:t>
      </w:r>
    </w:p>
    <w:p>
      <w:pPr>
        <w:spacing w:before="0" w:after="180" w:line="264" w:lineRule="auto"/>
        <w:ind w:firstLine="340"/>
        <w:jc w:val="both"/>
      </w:pPr>
      <w:r>
        <w:rPr>
          <w:rFonts w:ascii="Cambria" w:hAnsi="Cambria"/>
          <w:b w:val="0"/>
          <w:i w:val="0"/>
          <w:color w:val="141A21"/>
          <w:sz w:val="22"/>
        </w:rPr>
        <w:t>Ce taux se décompose de 12,8% pour l’impôt sur le revenu et de 17,2% pour les prélèvements sociaux. De plus s’ajoute éventuellement la contribution sur les hauts revenus prévu à l’article 233 sexies du code général des impôts.</w:t>
      </w:r>
    </w:p>
    <w:p>
      <w:pPr>
        <w:spacing w:before="0" w:after="180" w:line="264" w:lineRule="auto"/>
        <w:ind w:firstLine="340"/>
        <w:jc w:val="both"/>
      </w:pPr>
      <w:r>
        <w:rPr>
          <w:rFonts w:ascii="Cambria" w:hAnsi="Cambria"/>
          <w:b w:val="0"/>
          <w:i w:val="0"/>
          <w:color w:val="141A21"/>
          <w:sz w:val="22"/>
        </w:rPr>
        <w:t>De ce fait l' abattement de 40% applicable aux dividendes est supprimé.</w:t>
      </w:r>
    </w:p>
    <w:p>
      <w:pPr>
        <w:spacing w:before="0" w:after="180" w:line="264" w:lineRule="auto"/>
        <w:ind w:firstLine="340"/>
        <w:jc w:val="both"/>
      </w:pPr>
      <w:r>
        <w:rPr>
          <w:rFonts w:ascii="Cambria" w:hAnsi="Cambria"/>
          <w:b w:val="0"/>
          <w:i w:val="0"/>
          <w:color w:val="141A21"/>
          <w:sz w:val="22"/>
        </w:rPr>
        <w:t>Une option est toutefois possible dans certains cas pour maintenir l’imposition au barème progressif de l’impôt sur le revenu, l’intérêt étant surtout pour les contribuables les plus modestes, dont le niveau d’imposition résultant de l’ancien mode de calcul est plus favorable.</w:t>
      </w:r>
    </w:p>
    <w:p>
      <w:pPr>
        <w:spacing w:before="0" w:after="180" w:line="264" w:lineRule="auto"/>
        <w:ind w:firstLine="340"/>
        <w:jc w:val="both"/>
      </w:pPr>
      <w:r>
        <w:rPr>
          <w:rFonts w:ascii="Cambria" w:hAnsi="Cambria"/>
          <w:b w:val="0"/>
          <w:i w:val="0"/>
          <w:color w:val="141A21"/>
          <w:sz w:val="22"/>
        </w:rPr>
        <w:t>Je ne développerai pas une liste exhaustive de toutes les modalités de la loi de finances 2018 car le présent ouvrage n’est pas un livre fiscal.</w:t>
      </w:r>
    </w:p>
    <w:p>
      <w:pPr>
        <w:spacing w:before="0" w:after="180" w:line="264" w:lineRule="auto"/>
        <w:ind w:firstLine="340"/>
        <w:jc w:val="both"/>
      </w:pPr>
      <w:r>
        <w:rPr>
          <w:rFonts w:ascii="Cambria" w:hAnsi="Cambria"/>
          <w:b w:val="0"/>
          <w:i w:val="0"/>
          <w:color w:val="141A21"/>
          <w:sz w:val="22"/>
        </w:rPr>
        <w:t>Etant de plus en plus sollicité par mes clients qui souhaitent s’expatrier je dois signaler les cas particuliers des non-résidents.</w:t>
      </w:r>
    </w:p>
    <w:p>
      <w:pPr>
        <w:spacing w:before="0" w:after="180" w:line="264" w:lineRule="auto"/>
        <w:ind w:firstLine="340"/>
        <w:jc w:val="both"/>
      </w:pPr>
      <w:r>
        <w:rPr>
          <w:rFonts w:ascii="Cambria" w:hAnsi="Cambria"/>
          <w:b w:val="0"/>
          <w:i w:val="0"/>
          <w:color w:val="141A21"/>
          <w:sz w:val="22"/>
        </w:rPr>
        <w:t>Le taux d’imposition des revenus mobiliers bénéficiant à des personnes physiques non résidentes est aligné sur celui du PFU soit 12,8% (article 28 de la loi de finances pour 2018) sous réserve de l’application des conventions internationales). Ce dernier point est très important car afin d’optimiser (et toujours en toute légalité) il convient de bien vérifier cet élément pour éviter une double imposition des revenus produits dans un autre pays et dont le bénéficiaire est contribuable français.</w:t>
      </w:r>
    </w:p>
    <w:p>
      <w:pPr>
        <w:spacing w:before="0" w:after="180" w:line="264" w:lineRule="auto"/>
        <w:ind w:firstLine="340"/>
        <w:jc w:val="both"/>
      </w:pPr>
      <w:r>
        <w:rPr>
          <w:rFonts w:ascii="Cambria" w:hAnsi="Cambria"/>
          <w:b w:val="0"/>
          <w:i w:val="0"/>
          <w:color w:val="141A21"/>
          <w:sz w:val="22"/>
        </w:rPr>
        <w:t>Ce taux s’applique à compter du 1er janvier 2018 aux revenus de capitaux mobiliers payés à des personnes physiques non résidentes en France ainsi qu’aux plus values et distributions de participations substantielles réalisées ou perçues.</w:t>
      </w:r>
    </w:p>
    <w:p>
      <w:pPr>
        <w:spacing w:before="0" w:after="180" w:line="264" w:lineRule="auto"/>
        <w:ind w:firstLine="340"/>
        <w:jc w:val="both"/>
      </w:pPr>
      <w:r>
        <w:rPr>
          <w:rFonts w:ascii="Cambria" w:hAnsi="Cambria"/>
          <w:b w:val="0"/>
          <w:i w:val="0"/>
          <w:color w:val="141A21"/>
          <w:sz w:val="22"/>
        </w:rPr>
        <w:t>Certains de mes clients désirants investir à l’étranger m’informe de leur choix d’investissement et m’indiquent que ce montage a été validé avec tel ou tel avocat. Bon d’accord c’est leur sous. Au moment d’établir leur déclaration de revenus ils me demandent comment gérer CES revenus un peu particuliers ; je les renvoi vers LEUR conseil. Souvent Maitre trucmuche est au abonné absent et c’est encore bibi qui doit se débrouiller et si tout a été réalisé dans les normes de l’art.</w:t>
      </w:r>
    </w:p>
    <w:p>
      <w:pPr>
        <w:spacing w:before="0" w:after="180" w:line="264" w:lineRule="auto"/>
        <w:ind w:firstLine="340"/>
        <w:jc w:val="both"/>
      </w:pPr>
      <w:r>
        <w:rPr>
          <w:rFonts w:ascii="Cambria" w:hAnsi="Cambria"/>
          <w:b w:val="0"/>
          <w:i w:val="0"/>
          <w:color w:val="141A21"/>
          <w:sz w:val="22"/>
        </w:rPr>
        <w:t>J’ai sélectionné au fur et à mesure de différentes rencontres un réseau avec quelques avocats, notaires et même huissiers (il n’y a pas que Maitre enfoirus) avec qui je travaille en bonne entente. Ils ont tous compris mon état d’esprit et la finalité de ma méthode : que le client dorme tranquille car il sait que nous avons travaillé dans son intérêt avec le risque minimum, car je ne répéterai assez que la vie des ENTREPRENEURS est jalonnée d’embuches et qu’elle se construit parce que des Hommes savent faire des choix et prendrent des décisions en sachant que leurs actes font toujours prendre un risque à leur entreprise, mais c’est comme ça depuis que l’économie existe, les exemples de faillites d’entreprises et si j’élimine les escrocs, c’est toujours à la base des ENTREPRENEURS qui ont crus dans leur projet et ont pris des risques mais ca c’est scratché.</w:t>
      </w:r>
    </w:p>
    <w:p>
      <w:pPr>
        <w:spacing w:before="0" w:after="180" w:line="264" w:lineRule="auto"/>
        <w:ind w:firstLine="340"/>
        <w:jc w:val="both"/>
      </w:pPr>
      <w:r>
        <w:rPr>
          <w:rFonts w:ascii="Cambria" w:hAnsi="Cambria"/>
          <w:b w:val="0"/>
          <w:i w:val="0"/>
          <w:color w:val="141A21"/>
          <w:sz w:val="22"/>
        </w:rPr>
        <w:t>Ne lésiner jamais sur l’investissement dans les conseils de vos partenaires.</w:t>
      </w:r>
    </w:p>
    <w:p>
      <w:pPr>
        <w:spacing w:before="0" w:after="180" w:line="264" w:lineRule="auto"/>
        <w:ind w:firstLine="340"/>
        <w:jc w:val="both"/>
      </w:pPr>
      <w:r>
        <w:rPr>
          <w:rFonts w:ascii="Cambria" w:hAnsi="Cambria"/>
          <w:b w:val="0"/>
          <w:i w:val="0"/>
          <w:color w:val="141A21"/>
          <w:sz w:val="22"/>
        </w:rPr>
        <w:t>Quelques précisions liées à l’instauration de ce PFU.</w:t>
      </w:r>
    </w:p>
    <w:p>
      <w:pPr>
        <w:spacing w:before="0" w:after="180" w:line="264" w:lineRule="auto"/>
        <w:ind w:firstLine="340"/>
        <w:jc w:val="both"/>
      </w:pPr>
      <w:r>
        <w:rPr>
          <w:rFonts w:ascii="Cambria" w:hAnsi="Cambria"/>
          <w:b w:val="0"/>
          <w:i w:val="0"/>
          <w:color w:val="141A21"/>
          <w:sz w:val="22"/>
        </w:rPr>
        <w:t>Pour les actions gratuites dont l’attribution est autorisée par une décision d’AGE (assemblée générale extraordinaire) postérieure à la publication de la loi de finances 2018, la fraction du gain d’acquisition inferieure à 300 000€ est soumise au barème progressif de l’impôt avec application d’un abattement de 50% et éventuellement de l’abattement fixe applicable au dirigeant prenant sa retraite.</w:t>
      </w:r>
    </w:p>
    <w:p>
      <w:pPr>
        <w:spacing w:before="0" w:after="180" w:line="264" w:lineRule="auto"/>
        <w:ind w:firstLine="340"/>
        <w:jc w:val="both"/>
      </w:pPr>
      <w:r>
        <w:rPr>
          <w:rFonts w:ascii="Cambria" w:hAnsi="Cambria"/>
          <w:b w:val="0"/>
          <w:i w:val="0"/>
          <w:color w:val="141A21"/>
          <w:sz w:val="22"/>
        </w:rPr>
        <w:t>Pour les actions gratuites dont l’attribution a été autorisée par une décision de l’AGE prise entre le 8 aout 2015 et la date de la publication de la loi, l’abattement fixe s’applique.</w:t>
      </w:r>
    </w:p>
    <w:p>
      <w:pPr>
        <w:spacing w:before="0" w:after="180" w:line="264" w:lineRule="auto"/>
        <w:ind w:firstLine="340"/>
        <w:jc w:val="both"/>
      </w:pPr>
      <w:r>
        <w:rPr>
          <w:rFonts w:ascii="Cambria" w:hAnsi="Cambria"/>
          <w:b w:val="0"/>
          <w:i w:val="0"/>
          <w:color w:val="141A21"/>
          <w:sz w:val="22"/>
        </w:rPr>
        <w:t>De plus le régime fiscal de l’anonymat est supprimé pour les revenus à compter du 1er janvier 2018 et ce quelque soit la date de souscription des bons au porteur ou des contrats</w:t>
      </w:r>
    </w:p>
    <w:p>
      <w:pPr>
        <w:spacing w:before="0" w:after="180" w:line="264" w:lineRule="auto"/>
        <w:ind w:firstLine="340"/>
        <w:jc w:val="both"/>
      </w:pPr>
      <w:r>
        <w:rPr>
          <w:rFonts w:ascii="Cambria" w:hAnsi="Cambria"/>
          <w:b w:val="0"/>
          <w:i w:val="0"/>
          <w:color w:val="141A21"/>
          <w:sz w:val="22"/>
        </w:rPr>
        <w:t>Toute personne imposable à l’impôt sur le revenu doit souscrire néanmoins une déclaration d’ensemble de ses revenus, qui doit comporter l’ensemble des revenus impassables à l’impôt sur le revenu, suivant le barème progressif ou le taux forfaitaire. Doivent figurer les revenus mobiliers perçus ou réalisés par le contribuable dans le cadre de la gestion de son patrimoine privé, ces revenus sont soumis à une imposition au taux forfaitaire de 12,8%, régime de droit commun du PFU en application du 1 de l’article 200 A du code général des impôts, sauf en cas d’option au barème progressif pour l’ensemble des revenus avant la date limite de dépôt de la déclaration dans les délais légaux (en cas de dépôt tardif l’option ne sera pas retenue par l’administration pour le calcul).</w:t>
      </w:r>
    </w:p>
    <w:p>
      <w:pPr>
        <w:spacing w:before="0" w:after="180" w:line="264" w:lineRule="auto"/>
        <w:ind w:firstLine="340"/>
        <w:jc w:val="both"/>
      </w:pPr>
      <w:r>
        <w:rPr>
          <w:rFonts w:ascii="Cambria" w:hAnsi="Cambria"/>
          <w:b w:val="0"/>
          <w:i w:val="0"/>
          <w:color w:val="141A21"/>
          <w:sz w:val="22"/>
        </w:rPr>
        <w:t>Cette déclaration doit comporter TOUS les revenus (la loi ne permet pas de combiner les deux régimes de taxation) même ceux exonérés ou ayant subis le prélèvement libératoire afin de déterminer le revenu fiscal de référencé.</w:t>
      </w:r>
    </w:p>
    <w:p>
      <w:pPr>
        <w:spacing w:before="0" w:after="180" w:line="264" w:lineRule="auto"/>
        <w:ind w:firstLine="340"/>
        <w:jc w:val="both"/>
      </w:pPr>
      <w:r>
        <w:rPr>
          <w:rFonts w:ascii="Cambria" w:hAnsi="Cambria"/>
          <w:b w:val="0"/>
          <w:i w:val="0"/>
          <w:color w:val="141A21"/>
          <w:sz w:val="22"/>
        </w:rPr>
        <w:t>Dans le cas d’application du PFU, les revenus des capitaux mobiliers (hors produits d’assurance vie) ne peuvent plus être réduits en bénéficiant de l’abattement de 40% prévu 2° et 3° de l’article 158 du code général des impôts.</w:t>
      </w:r>
    </w:p>
    <w:p>
      <w:pPr>
        <w:spacing w:before="0" w:after="180" w:line="264" w:lineRule="auto"/>
        <w:ind w:firstLine="340"/>
        <w:jc w:val="both"/>
      </w:pPr>
      <w:r>
        <w:rPr>
          <w:rFonts w:ascii="Cambria" w:hAnsi="Cambria"/>
          <w:b w:val="0"/>
          <w:i w:val="0"/>
          <w:color w:val="141A21"/>
          <w:sz w:val="22"/>
        </w:rPr>
        <w:t>Encore un petit focus sur les gains de cession de valeurs mobilières et droits sociaux mentionnés à l’article 150-0 A du CGI.</w:t>
      </w:r>
    </w:p>
    <w:p>
      <w:pPr>
        <w:spacing w:before="0" w:after="180" w:line="264" w:lineRule="auto"/>
        <w:ind w:firstLine="340"/>
        <w:jc w:val="both"/>
      </w:pPr>
      <w:r>
        <w:rPr>
          <w:rFonts w:ascii="Cambria" w:hAnsi="Cambria"/>
          <w:b w:val="0"/>
          <w:i w:val="0"/>
          <w:color w:val="141A21"/>
          <w:sz w:val="22"/>
        </w:rPr>
        <w:t>L’article 28 de la loi de finances 2018 supprime l’avantage des abattements pour durée de détention institué en 2014, pour les gains de cessions réalisés à compter du 1er janvier 2018 ainsi que pour les compléments de prix perçus a cette même date. Ces gains sont retenus dans l’assiette globale des revenus, après prise en compte des éventuelles moins-values de même catégorie, de l’année ou celles reportées. Néanmoins un régime transitoire est prévu.</w:t>
      </w:r>
    </w:p>
    <w:p>
      <w:pPr>
        <w:spacing w:before="0" w:after="180" w:line="264" w:lineRule="auto"/>
        <w:ind w:firstLine="340"/>
        <w:jc w:val="both"/>
      </w:pPr>
      <w:r>
        <w:rPr>
          <w:rFonts w:ascii="Cambria" w:hAnsi="Cambria"/>
          <w:b w:val="0"/>
          <w:i w:val="0"/>
          <w:color w:val="141A21"/>
          <w:sz w:val="22"/>
        </w:rPr>
        <w:t>Nous noterons le maintien du prélèvement forfaitaire obligatoire (PFO) sur certains revenus de capitaux mobiliers. Vous vous souvenez lorsque vous receviez des dividendes il y avait un prélèvement (en fait 2, l’un pour l’impôt sur le revenu et l’autre sur la CSG) à titre d’acompte sur l’impôt sur le revenu qui était de 21%, sous certaines conditions et qui était à verser avant le 15 du mois suivant le versement des dividendes. Lors du calcul de l’impôt pour l’année référencée et la détermination définitif du montant, l’excédent de PFO était restitué. Pour 2018, le PFO reste de vigueur mais il passe à 12,8%. En plus il s’applique dorénavant aux produits de bons ou contrats de capitalisation ou d’assurance-vie.</w:t>
      </w:r>
    </w:p>
    <w:p>
      <w:pPr>
        <w:spacing w:before="0" w:after="180" w:line="264" w:lineRule="auto"/>
        <w:ind w:firstLine="340"/>
        <w:jc w:val="both"/>
      </w:pPr>
      <w:r>
        <w:rPr>
          <w:rFonts w:ascii="Cambria" w:hAnsi="Cambria"/>
          <w:b w:val="0"/>
          <w:i w:val="0"/>
          <w:color w:val="141A21"/>
          <w:sz w:val="22"/>
        </w:rPr>
        <w:t>Je rappelle ici, comme à mes clients régulièrement, que le PFO s’applique également aux intérêts de compte courant d’associés que vous pourriez vous calculer dans vos propres entreprises.</w:t>
      </w:r>
    </w:p>
    <w:p>
      <w:pPr>
        <w:spacing w:before="0" w:after="180" w:line="264" w:lineRule="auto"/>
        <w:ind w:firstLine="340"/>
        <w:jc w:val="both"/>
      </w:pPr>
      <w:r>
        <w:rPr>
          <w:rFonts w:ascii="Cambria" w:hAnsi="Cambria"/>
          <w:b w:val="0"/>
          <w:i w:val="0"/>
          <w:color w:val="141A21"/>
          <w:sz w:val="22"/>
        </w:rPr>
        <w:t>L’idée essentielle de ce PFU c’est de soumettre LE montant a un taux unique de 30%.</w:t>
      </w:r>
    </w:p>
    <w:p>
      <w:pPr>
        <w:spacing w:before="0" w:after="180" w:line="264" w:lineRule="auto"/>
        <w:ind w:firstLine="340"/>
        <w:jc w:val="both"/>
      </w:pPr>
      <w:r>
        <w:rPr>
          <w:rFonts w:ascii="Cambria" w:hAnsi="Cambria"/>
          <w:b w:val="0"/>
          <w:i w:val="0"/>
          <w:color w:val="141A21"/>
          <w:sz w:val="22"/>
        </w:rPr>
        <w:t>Evidemment ce n’est pas simple de passer « radicalement » d’un système à un autre car, comme je le dit souvent, lorsque vous avez déterminé une stratégie fiscale c’est compliqué de s’adapter lorsque la loi change aussi vite. C’est le cas pour les dirigeants de PME (effectif inférieur à 250 personnes, le chiffre d’affaires annuel inférieur à 50 millions d’euros et le total du bilan annuel inférieur à 43 millions d’euros) partant à la retraite. Cette stratégie est souvent prévue plusieurs années en avance, pour préparer la transmission et la formation du nouveau chef, un nouvel ENTREPRENEUR. Le législateur a néanmoins maintenu l’avantage d’un abattement de 500 000€ dont bénéficient les dirigeants cédant les titres de société dans laquelle ils exerçaient leur activité à l’occasion de leur départ en retraite et reconduit le dispositif s’appliquant aux cessions et rachats réalisés du 1er janvier 20148 au 31 décembre 2022, ainsi qu’aux compléments de prix afférents à ces mêmes opérations et perçus entre ces mêmes dates. L’abattement fixe s’applique aux gains retirés lors de la cession à titre onéreux ou du rachat de l’intégralité des actions, de parts sociales, ou de droit démembrés portant sur ces titres. Les titres doivent avoir été détenus depuis au moins 1 an à la date de la cession. Le cédant doit avoir exercé au sein de la société dont les titres ou droits sont cédés, de manière continue pendant les 5 années précédant la cession, des fonctions de direction (gérant, président, directeur général, président du conseil de surveillance ou membre du directoire ou associé en nom d’une société de personnes. Cette fonction doit être effectivement exercée et elle doit donner lieu à une rémunération normale dans les catégories imposables à l’impôt sur le revenu des traitements et salaires, bénéfices industriels et commerciaux, bénéfices agricoles, bénéfices non commerciaux et revenus des gérants et associés mentionnés à l’article 62, au regard des rémunérations du même type versées au titre de fonctions analogues dans l’entreprise ou dans des entreprises similaires établies en France. Cette rémunération doit représenter plus de la moitié des revenus professionnels imposables de l’ancien dirigeant. Le cédant doit, de manière continue pendant les cinq années précédant la cession, avoir détenu au moins 25% des droits de vote ou des droits dans les bénéfices sociaux de la société dont les titres ou droit sont cédés. Le cédant doit, dans les 2 années suivantes ou précédant la cession, cesser toute fonction dans la société dont les ou droits sont cédés et faire valoir ses droits à la retraite. Lorsque les titres ou droits sont cédés à une société, le cédant ne doit pas détenir de participation capitalistique dans cette société cessionnaire.</w:t>
      </w:r>
    </w:p>
    <w:p>
      <w:pPr>
        <w:spacing w:before="0" w:after="180" w:line="264" w:lineRule="auto"/>
        <w:ind w:firstLine="340"/>
        <w:jc w:val="both"/>
      </w:pPr>
      <w:r>
        <w:rPr>
          <w:rFonts w:ascii="Cambria" w:hAnsi="Cambria"/>
          <w:b w:val="0"/>
          <w:i w:val="0"/>
          <w:color w:val="141A21"/>
          <w:sz w:val="22"/>
        </w:rPr>
        <w:t>Point très important que nous reverrons lorsque nous étudierons le phénomène des « holdings » ; la société cédée doit exercer une activité opérationnelle soit directement soit par l’intermédiaire de ses filiales (article 150-0 D ter, II, 3°, b nouveau du code général des impôts). Cela signifie que la société doit exercer une activité commerciale, industrielle, artisanale, libérale, agricole ou financière, à l’exclusion des activités de gestion de son propre patrimoine mobilier et immobilier (ce qui exclue les SCI) ou avoir pour objet social exclusif de détenir des participations dans des sociétés exerçant les activités éligibles, soit des sociétés holding animatrices de groupe. Cette condition d’activité doit être vérifiée sur une période continue de cinq années précédant la cession. La société doit être soumise à l’impôt sur les sociétés et avoir son siège de direction effective dans un Etat membre de l’Union Européenne ou dans un autre Etat partie à l’accord sur l’espace économique européen ayant conclu avec la France une convention fiscale qui contient une clause d’assistance administrative en vue de lutter contre la fraude ou l’évasion fiscale.</w:t>
      </w:r>
    </w:p>
    <w:p>
      <w:pPr>
        <w:spacing w:before="0" w:after="180" w:line="264" w:lineRule="auto"/>
        <w:ind w:firstLine="340"/>
        <w:jc w:val="both"/>
      </w:pPr>
      <w:r>
        <w:rPr>
          <w:rFonts w:ascii="Cambria" w:hAnsi="Cambria"/>
          <w:b w:val="0"/>
          <w:i w:val="0"/>
          <w:color w:val="141A21"/>
          <w:sz w:val="22"/>
        </w:rPr>
        <w:t>L’abattement fixe de 500 000€ s’applique aux gains nets déterminés après imputation des moins-values de la même année ou celles reportées. Lorsque le cédant remplit les conditions dans plusieurs sociétés, il bénéficie de l’abattement de 500 000€ pour chacune des sociétés. En cas de perception d’un complément de prix, ce compliment peut être déduit de l’abattement fixe non utilisé au titre de la cession.</w:t>
      </w:r>
    </w:p>
    <w:p>
      <w:pPr>
        <w:spacing w:before="0" w:after="180" w:line="264" w:lineRule="auto"/>
        <w:ind w:firstLine="340"/>
        <w:jc w:val="both"/>
      </w:pPr>
      <w:r>
        <w:rPr>
          <w:rFonts w:ascii="Cambria" w:hAnsi="Cambria"/>
          <w:b w:val="0"/>
          <w:i w:val="0"/>
          <w:color w:val="141A21"/>
          <w:sz w:val="22"/>
        </w:rPr>
        <w:t>Lorsqu’a l’expiration du délai de 24 mois suivant la cession, le cédant n’a pas cessé ses fonctions dans la société cédée et n’a pas fait valoir ses droits à la retraite ou n’a pas cédé l’intégralité de ses droits sociaux (voir conditions plus restrictives) l’abattement fixe qui s’est appliqué à la plus-value de cession est remis en cause au titre de l’année d’expiration de ce délai.</w:t>
      </w:r>
    </w:p>
    <w:p>
      <w:pPr>
        <w:spacing w:before="0" w:after="180" w:line="264" w:lineRule="auto"/>
        <w:ind w:firstLine="340"/>
        <w:jc w:val="both"/>
      </w:pPr>
      <w:r>
        <w:rPr>
          <w:rFonts w:ascii="Cambria" w:hAnsi="Cambria"/>
          <w:b w:val="0"/>
          <w:i w:val="0"/>
          <w:color w:val="141A21"/>
          <w:sz w:val="22"/>
        </w:rPr>
        <w:t>L’ordre d’imputation des moins-values sur les plus-values de cession de valeurs mobilières et droits sociaux est fixé par la loi. Les plus-values réalisées au titre d’une année N sont réduites en priorité des moins-values subies au titre de la même année N puis des moins-values des années antérieures. En cas de solde positif (excédent de plus-value) ce gain est réduit des moins-values des années antérieures jusqu’à la dixième inclusivement. En cas de solde négatif (excédent de moins-value) cette moins-value s’imputera sur les plus-values réalisées au titre des années suivantes jusqu’à la dixième inclusivement.</w:t>
      </w:r>
    </w:p>
    <w:p>
      <w:pPr>
        <w:spacing w:before="0" w:after="180" w:line="264" w:lineRule="auto"/>
        <w:ind w:firstLine="340"/>
        <w:jc w:val="both"/>
      </w:pPr>
      <w:r>
        <w:rPr>
          <w:rFonts w:ascii="Cambria" w:hAnsi="Cambria"/>
          <w:b w:val="0"/>
          <w:i w:val="0"/>
          <w:color w:val="141A21"/>
          <w:sz w:val="22"/>
        </w:rPr>
        <w:t>Un autre changement important a été inscrit dans cette loi de finance 2018, c’est l’aménagement du report d’imposition automatique des plus-values d’apport de titres à une société soumise à l’IS contrôlée par l’apporteuse. Depuis le 14 novembre 2012 et jusqu’en 2017 les plus-values réalisées par des particuliers lors d’un apport de leurs titres à une société soumise à l’impôt sur les sociétés qu’ils contrôlent sont placées en report automatique d’imposition. Ce dispositif vise à remettre en cause un schéma d’optimisation fiscale dit d’apport-cession, en substituant au régime du sursis d’imposition applicable en cas d’apport, un régime de report d’imposition sous condition de remploi des fonds financiers dégagés. Dès le 1er janvier 2017, en cas de perception par l’apporteur d’une soulte n’excédant pas 10% de la valeur nominale des titres reçus (si le seuil était dépassé, la plus-value est imposée en totalité), la plus-value sur la soulte est imposée au titre de l’année de l’apport. Le report d’imposition expire et la plus-value devient taxable notamment en cas de cession par la société ayant bénéficié de l’apport, des titres apportés dans les 3 ans de l’apport. Par exception il n’est pas mis fin au report d’imposition lorsque la société bénéficiaire de l’apport cède les titres apportés dans ce délai de 3 ans et prend l’engagement d’investir au moins 50% du produit de la cession dans un délai de 2 ans, dans des moyens permanents d’exploitation affectés à son activité commerciale, industrielle, artisanale, libérale, agricole ou financière, à l’exception d’un patrimoine mobilier ou immobilier, ou dans des participations de société ayant cette activité. L’instauration du PFU sur les plus-values de cessions de titres et de droits sociaux entraine des adaptations au dispositif. Seules les plus-values d’apport réalisées à compter du 1er janvier 2018 sont concernées par la « flat tax » au taux global de 30%, soit 12,8% pour l’IR. Les plus-values d’apport réalisé par un apporteur non résident, réalisé entre le 1er janvier 2013 et le 31 décembre 2017 sont imposables au taux de 45% ou si le contribuable est établi ou domicilié dans un état ou territoire non coopératif (ETNC), au taux de 75% ; et à compter du 1er janvier 2018 au taux de 12,8% et toujours à 75% pour les ETNC. L’élément important pour l’année 2018 est que l’administration a précisé les modalités d’application de la clause de réinvestissement ainsi il est désormais expressément précisé que la notion d’activité commerciale éligible exclues les activités de gestion de son propre patrimoine mobilier ou immobilier. De ce fait bien que revêtant un caractère commercial au sens de l’article 35 du CGI, les activités de location meublée ne devraient pas être éligible au remploi</w:t>
      </w:r>
    </w:p>
    <w:p>
      <w:pPr>
        <w:spacing w:before="0" w:after="180" w:line="264" w:lineRule="auto"/>
        <w:ind w:firstLine="340"/>
        <w:jc w:val="both"/>
      </w:pPr>
      <w:r>
        <w:rPr>
          <w:rFonts w:ascii="Cambria" w:hAnsi="Cambria"/>
          <w:b w:val="0"/>
          <w:i w:val="0"/>
          <w:color w:val="141A21"/>
          <w:sz w:val="22"/>
        </w:rPr>
        <w:t>L’article 28 de la loi de finances 2018 modifie le taux de la retenue à la source applicable aux bénéficiaires personnes physiques afin de l’aligner sur le taux du PFU. Ainsi sous réserve des conventions fiscales, pour les revenus distribués à des bénéficiaires personnes physique non résidentes, la retenue à la source est collectée au taux de 12,8% quel que soit l’Etat ou le territoire de domiciliation. Néanmoins le taux de 75% reste applicable lorsque les revenus sont versés à une personne physique domiciliée dans un Etat ou territoire non coopératif (ETNC) en application de la « clause de sauvegarde ». Concernant la perception de « jetons de présence » (rémunération versée aux administrateurs des sociétés anonymes) la possibilité de demander le remboursement de l’excédent de retenue à la source est supprimée. Le taux de la retenue à la source applicable aux bénéficiaires personnes morales reste inchangé en application de l’article 187, 1, 1° nouveau du CGI. L’ensemble de ces modifications est applicable aux encaissements effectifs des revenus par le bénéficiaire à compter du 1er janvier 2018.</w:t>
      </w:r>
    </w:p>
    <w:p>
      <w:pPr>
        <w:spacing w:before="0" w:after="180" w:line="264" w:lineRule="auto"/>
        <w:ind w:firstLine="340"/>
        <w:jc w:val="both"/>
      </w:pPr>
      <w:r>
        <w:rPr>
          <w:rFonts w:ascii="Cambria" w:hAnsi="Cambria"/>
          <w:b w:val="0"/>
          <w:i w:val="0"/>
          <w:color w:val="141A21"/>
          <w:sz w:val="22"/>
        </w:rPr>
        <w:t>Un petit point glissé dans ce même article 28 est la suppression du régime fiscal de l’anonymat. Ce système permettait à une personne physique de souscrire un bon ou un contrat (en fait faire un placement de trésorerie) qui bénéficiait d’une fiscalité dérogatoire puisque , l’établissement payeur n’étant pas autorisé à communiquer à l’Administration les identités du souscripteur et du bénéficiaire. Un prélèvement forfaitaire libératoire de 60% était appliqué au produits du bon ou du contrat, qu’elle que soit sa durée et les prélèvements sociaux étaient dus. En fait j’ai rencontré certains « titulaires » de ces documents, c’était pour la plus part des personnes qui plaçaient des espèces et les revendaient à termes en s’acquittant des prélèvements indiqués ci-dessus et de ce fait récupéraient de la « trésorerie devenue légale ». Mais bon ce régime est supprimé à compter du 1er janvier 2018 c’est donc trop tard pour vous si vous en avez encore.</w:t>
      </w:r>
    </w:p>
    <w:p>
      <w:pPr>
        <w:spacing w:before="0" w:after="180" w:line="264" w:lineRule="auto"/>
        <w:ind w:firstLine="340"/>
        <w:jc w:val="both"/>
      </w:pPr>
      <w:r>
        <w:rPr>
          <w:rFonts w:ascii="Cambria" w:hAnsi="Cambria"/>
          <w:b w:val="0"/>
          <w:i w:val="0"/>
          <w:color w:val="141A21"/>
          <w:sz w:val="22"/>
        </w:rPr>
        <w:t>Je ne peux que vous inciter si vous êtes dans ce cas à vous rapprocher de votre conseil habituel afin de peaufiner votre montage puisque je suis resté très généraliste dans mes propos et chaque situation patrimoniale est différente.</w:t>
      </w:r>
    </w:p>
    <w:p>
      <w:pPr>
        <w:spacing w:before="0" w:after="180" w:line="264" w:lineRule="auto"/>
        <w:ind w:firstLine="340"/>
        <w:jc w:val="both"/>
      </w:pPr>
      <w:r>
        <w:rPr>
          <w:rFonts w:ascii="Cambria" w:hAnsi="Cambria"/>
          <w:b w:val="0"/>
          <w:i w:val="0"/>
          <w:color w:val="141A21"/>
          <w:sz w:val="22"/>
        </w:rPr>
        <w:t>Eh oui ce n’est pas simple, mais on nous annonce quand même cela comme de la simplification ; il faudrait que notre législateur relise un peu le dictionnaire :</w:t>
      </w:r>
    </w:p>
    <w:p>
      <w:pPr>
        <w:spacing w:before="0" w:after="180" w:line="264" w:lineRule="auto"/>
        <w:ind w:firstLine="340"/>
        <w:jc w:val="both"/>
      </w:pPr>
      <w:r>
        <w:rPr>
          <w:rFonts w:ascii="Cambria" w:hAnsi="Cambria"/>
          <w:b w:val="0"/>
          <w:i w:val="0"/>
          <w:color w:val="141A21"/>
          <w:sz w:val="22"/>
        </w:rPr>
        <w:t>Simple = qui n’est point compliqué, sans recherche, sans ornement, sans malice, sans déguisement ;</w:t>
      </w:r>
    </w:p>
    <w:p>
      <w:pPr>
        <w:spacing w:before="0" w:after="180" w:line="264" w:lineRule="auto"/>
        <w:ind w:firstLine="340"/>
        <w:jc w:val="both"/>
      </w:pPr>
      <w:r>
        <w:rPr>
          <w:rFonts w:ascii="Cambria" w:hAnsi="Cambria"/>
          <w:b w:val="0"/>
          <w:i w:val="0"/>
          <w:color w:val="141A21"/>
          <w:sz w:val="22"/>
        </w:rPr>
        <w:t>Simplifier = rendre simple ;</w:t>
      </w:r>
    </w:p>
    <w:p>
      <w:pPr>
        <w:spacing w:before="0" w:after="180" w:line="264" w:lineRule="auto"/>
        <w:ind w:firstLine="340"/>
        <w:jc w:val="both"/>
      </w:pPr>
      <w:r>
        <w:rPr>
          <w:rFonts w:ascii="Cambria" w:hAnsi="Cambria"/>
          <w:b w:val="0"/>
          <w:i w:val="0"/>
          <w:color w:val="141A21"/>
          <w:sz w:val="22"/>
        </w:rPr>
        <w:t>Simplification = action de simplifier ;</w:t>
      </w:r>
    </w:p>
    <w:p>
      <w:r>
        <w:br w:type="page"/>
      </w:r>
    </w:p>
    <w:p>
      <w:pPr>
        <w:pStyle w:val="Heading2"/>
        <w:spacing w:before="240" w:after="200" w:line="276" w:lineRule="auto"/>
      </w:pPr>
      <w:r>
        <w:rPr>
          <w:rFonts w:ascii="Calibri" w:hAnsi="Calibri"/>
          <w:b/>
          <w:i w:val="0"/>
          <w:color w:val="B05A3C"/>
          <w:sz w:val="36"/>
        </w:rPr>
        <w:t>Chapitre 5 — Les différentes impositions de l'investisseur immobilier</w:t>
      </w:r>
    </w:p>
    <w:p>
      <w:pPr>
        <w:spacing w:before="0" w:after="180" w:line="264" w:lineRule="auto"/>
        <w:jc w:val="both"/>
      </w:pPr>
      <w:r>
        <w:rPr>
          <w:rFonts w:ascii="Cambria" w:hAnsi="Cambria"/>
          <w:b w:val="0"/>
          <w:i w:val="0"/>
          <w:color w:val="141A21"/>
          <w:sz w:val="22"/>
        </w:rPr>
        <w:t>Dispositif PINEL :</w:t>
      </w:r>
    </w:p>
    <w:p>
      <w:pPr>
        <w:spacing w:before="0" w:after="180" w:line="264" w:lineRule="auto"/>
        <w:ind w:firstLine="340"/>
        <w:jc w:val="both"/>
      </w:pPr>
      <w:r>
        <w:rPr>
          <w:rFonts w:ascii="Cambria" w:hAnsi="Cambria"/>
          <w:b w:val="0"/>
          <w:i w:val="0"/>
          <w:color w:val="141A21"/>
          <w:sz w:val="22"/>
        </w:rPr>
        <w:t>Comme vu précédemment ce dispositif a été prorogé jusqu’au 31 décembre 2021</w:t>
      </w:r>
    </w:p>
    <w:p>
      <w:pPr>
        <w:pStyle w:val="Heading3"/>
        <w:spacing w:before="400" w:after="100" w:line="276" w:lineRule="auto"/>
      </w:pPr>
      <w:r>
        <w:rPr>
          <w:rFonts w:ascii="Calibri" w:hAnsi="Calibri"/>
          <w:b/>
          <w:i w:val="0"/>
          <w:color w:val="141A21"/>
          <w:sz w:val="27"/>
        </w:rPr>
        <w:t>La différence entre le régime réel et le régime micro</w:t>
      </w:r>
    </w:p>
    <w:p>
      <w:pPr>
        <w:spacing w:before="0" w:after="180" w:line="264" w:lineRule="auto"/>
        <w:jc w:val="both"/>
      </w:pPr>
      <w:r>
        <w:rPr>
          <w:rFonts w:ascii="Cambria" w:hAnsi="Cambria"/>
          <w:b w:val="0"/>
          <w:i w:val="0"/>
          <w:color w:val="141A21"/>
          <w:sz w:val="22"/>
        </w:rPr>
        <w:t>Différence entre le régime réel et l’imposition forfaitaire “micro”</w:t>
      </w:r>
    </w:p>
    <w:p>
      <w:pPr>
        <w:spacing w:before="0" w:after="180" w:line="264" w:lineRule="auto"/>
        <w:ind w:firstLine="340"/>
        <w:jc w:val="both"/>
      </w:pPr>
      <w:r>
        <w:rPr>
          <w:rFonts w:ascii="Cambria" w:hAnsi="Cambria"/>
          <w:b w:val="0"/>
          <w:i w:val="0"/>
          <w:color w:val="141A21"/>
          <w:sz w:val="22"/>
        </w:rPr>
        <w:t>La loi de finances pour 2018 modifie les seuils des régimes micro BIC et BNC.</w:t>
      </w:r>
    </w:p>
    <w:p>
      <w:pPr>
        <w:spacing w:before="0" w:after="180" w:line="264" w:lineRule="auto"/>
        <w:ind w:firstLine="340"/>
        <w:jc w:val="both"/>
      </w:pPr>
      <w:r>
        <w:rPr>
          <w:rFonts w:ascii="Cambria" w:hAnsi="Cambria"/>
          <w:b w:val="0"/>
          <w:i w:val="0"/>
          <w:color w:val="141A21"/>
          <w:sz w:val="22"/>
        </w:rPr>
        <w:t>Depuis leur instauration en 1991, les régimes micro-BNC et micro-BIC ont fait l’objet de nombreux ajustements. Cette nouvelle réforme inscrite dans la loi de finances 2018 traduit l’engagement du Président de la République Emmanuel MACRON de simplifier ce mode d’exercice professionnel.</w:t>
      </w:r>
    </w:p>
    <w:p>
      <w:pPr>
        <w:pStyle w:val="Heading3"/>
        <w:spacing w:before="400" w:after="100" w:line="276" w:lineRule="auto"/>
      </w:pPr>
      <w:r>
        <w:rPr>
          <w:rFonts w:ascii="Calibri" w:hAnsi="Calibri"/>
          <w:b/>
          <w:i w:val="0"/>
          <w:color w:val="141A21"/>
          <w:sz w:val="27"/>
        </w:rPr>
        <w:t>Le régime micro-BNC</w:t>
      </w:r>
    </w:p>
    <w:p>
      <w:pPr>
        <w:spacing w:before="0" w:after="180" w:line="264" w:lineRule="auto"/>
        <w:jc w:val="both"/>
      </w:pPr>
      <w:r>
        <w:rPr>
          <w:rFonts w:ascii="Cambria" w:hAnsi="Cambria"/>
          <w:b w:val="0"/>
          <w:i w:val="0"/>
          <w:color w:val="141A21"/>
          <w:sz w:val="22"/>
        </w:rPr>
        <w:t>Micro BNC</w:t>
      </w:r>
    </w:p>
    <w:p>
      <w:pPr>
        <w:spacing w:before="0" w:after="180" w:line="264" w:lineRule="auto"/>
        <w:ind w:firstLine="340"/>
        <w:jc w:val="both"/>
      </w:pPr>
      <w:r>
        <w:rPr>
          <w:rFonts w:ascii="Cambria" w:hAnsi="Cambria"/>
          <w:b w:val="0"/>
          <w:i w:val="0"/>
          <w:color w:val="141A21"/>
          <w:sz w:val="22"/>
        </w:rPr>
        <w:t>Le régime « déclaratif spécial » ou régime « micro-BNC » permet aux titulaires de bénéfices non commerciaux de bénéficier pendants les premières années d’augmentation de leurs recettes d’un régime dans lequel les obligations comptables sont allégées, le calcul de la base imposable simplifié et les prélèvements fiscaux et sociaux prévisibles. La détermination du résultat imposable à l’impôt sur le revenu est simplifiant en appliquant un abattement forfaitaire représentant l’ensemble des charges de 34% au montant des recettes hors taxes encaissées.</w:t>
      </w:r>
    </w:p>
    <w:p>
      <w:pPr>
        <w:spacing w:before="0" w:after="180" w:line="264" w:lineRule="auto"/>
        <w:ind w:firstLine="340"/>
        <w:jc w:val="both"/>
      </w:pPr>
      <w:r>
        <w:rPr>
          <w:rFonts w:ascii="Cambria" w:hAnsi="Cambria"/>
          <w:b w:val="0"/>
          <w:i w:val="0"/>
          <w:color w:val="141A21"/>
          <w:sz w:val="22"/>
        </w:rPr>
        <w:t>Le régime « micro-BNC » est actuellement réservé aux titulaires de BNC, réalisant un chiffre d’affaires inférieurs à un seuil fixé par la loi, qui est passé de 33 200€ HT à 70 000€ HT. Son entrée en vigueur s’applique à compter des revenus imposables de l’année 2017. Le régime s’applique aux titulaires BNC dont les recettes annuelles hors taxes ne dépassent pas 70 000€ en retenant les années N-1 et N-2 comme les années de référence. Plusieurs documents graphiques ont été réalisés par les différents organes professionnels, mais pour ma part je vous proposerai en référence en annexe les tableaux synthétiques réalisés par les services documentaires de l’ordre des experts-comptables.</w:t>
      </w:r>
    </w:p>
    <w:p>
      <w:pPr>
        <w:spacing w:before="0" w:after="180" w:line="264" w:lineRule="auto"/>
        <w:ind w:firstLine="340"/>
        <w:jc w:val="both"/>
      </w:pPr>
      <w:r>
        <w:rPr>
          <w:rFonts w:ascii="Cambria" w:hAnsi="Cambria"/>
          <w:b w:val="0"/>
          <w:i w:val="0"/>
          <w:color w:val="141A21"/>
          <w:sz w:val="22"/>
        </w:rPr>
        <w:t>Lors de la création de votre entreprise, le régime micro s’applique de plein droit les 2 premières années activité et cela quelque soit le montant des recettes puisque les années de référence n’existent pas.</w:t>
      </w:r>
    </w:p>
    <w:p>
      <w:pPr>
        <w:spacing w:before="0" w:after="180" w:line="264" w:lineRule="auto"/>
        <w:ind w:firstLine="340"/>
        <w:jc w:val="both"/>
      </w:pPr>
      <w:r>
        <w:rPr>
          <w:rFonts w:ascii="Cambria" w:hAnsi="Cambria"/>
          <w:b w:val="0"/>
          <w:i w:val="0"/>
          <w:color w:val="141A21"/>
          <w:sz w:val="22"/>
        </w:rPr>
        <w:t>Ces textes étant encore très jeunes l’administration n’a pas encore livré toute son interprétation mais nous pouvons illustrer cela par quelques exemples :</w:t>
      </w:r>
    </w:p>
    <w:p>
      <w:pPr>
        <w:spacing w:before="0" w:after="180" w:line="264" w:lineRule="auto"/>
        <w:ind w:firstLine="340"/>
        <w:jc w:val="both"/>
      </w:pPr>
      <w:r>
        <w:rPr>
          <w:rFonts w:ascii="Cambria" w:hAnsi="Cambria"/>
          <w:b w:val="0"/>
          <w:i w:val="0"/>
          <w:color w:val="141A21"/>
          <w:sz w:val="22"/>
        </w:rPr>
        <w:t>Un professionnel assujetti au régime BNC commence son activité libérale le 1er avril 2017.</w:t>
      </w:r>
    </w:p>
    <w:p>
      <w:pPr>
        <w:spacing w:before="0" w:after="180" w:line="264" w:lineRule="auto"/>
        <w:ind w:firstLine="340"/>
        <w:jc w:val="both"/>
      </w:pPr>
      <w:r>
        <w:rPr>
          <w:rFonts w:ascii="Cambria" w:hAnsi="Cambria"/>
          <w:b w:val="0"/>
          <w:i w:val="0"/>
          <w:color w:val="141A21"/>
          <w:sz w:val="22"/>
        </w:rPr>
        <w:t>Ses recettes hors taxes sont de 87 000€ pour 2017, de 117 000€ pour 2018 et de 67 000€ pour 2019.</w:t>
      </w:r>
    </w:p>
    <w:p>
      <w:pPr>
        <w:spacing w:before="0" w:after="180" w:line="264" w:lineRule="auto"/>
        <w:ind w:firstLine="340"/>
        <w:jc w:val="both"/>
      </w:pPr>
      <w:r>
        <w:rPr>
          <w:rFonts w:ascii="Cambria" w:hAnsi="Cambria"/>
          <w:b w:val="0"/>
          <w:i w:val="0"/>
          <w:color w:val="141A21"/>
          <w:sz w:val="22"/>
        </w:rPr>
        <w:t>Il ne pourra pas bénéficier du régime micro en 2019 puisque lors des 2 années de référence ses revenus hors taxe dépassaient 70 000€.</w:t>
      </w:r>
    </w:p>
    <w:p>
      <w:pPr>
        <w:spacing w:before="0" w:after="180" w:line="264" w:lineRule="auto"/>
        <w:ind w:firstLine="340"/>
        <w:jc w:val="both"/>
      </w:pPr>
      <w:r>
        <w:rPr>
          <w:rFonts w:ascii="Cambria" w:hAnsi="Cambria"/>
          <w:b w:val="0"/>
          <w:i w:val="0"/>
          <w:color w:val="141A21"/>
          <w:sz w:val="22"/>
        </w:rPr>
        <w:t>Un professionnel assujetti au régime BNC commence son activité libérale le 1er mars 2015.</w:t>
      </w:r>
    </w:p>
    <w:p>
      <w:pPr>
        <w:spacing w:before="0" w:after="180" w:line="264" w:lineRule="auto"/>
        <w:ind w:firstLine="340"/>
        <w:jc w:val="both"/>
      </w:pPr>
      <w:r>
        <w:rPr>
          <w:rFonts w:ascii="Cambria" w:hAnsi="Cambria"/>
          <w:b w:val="0"/>
          <w:i w:val="0"/>
          <w:color w:val="141A21"/>
          <w:sz w:val="22"/>
        </w:rPr>
        <w:t>Ses recettes hors taxes sont de 60 000€ pour 2015, de 117 000€ pour 2016 et de 67 000€ pour 2017.</w:t>
      </w:r>
    </w:p>
    <w:p>
      <w:pPr>
        <w:spacing w:before="0" w:after="180" w:line="264" w:lineRule="auto"/>
        <w:ind w:firstLine="340"/>
        <w:jc w:val="both"/>
      </w:pPr>
      <w:r>
        <w:rPr>
          <w:rFonts w:ascii="Cambria" w:hAnsi="Cambria"/>
          <w:b w:val="0"/>
          <w:i w:val="0"/>
          <w:color w:val="141A21"/>
          <w:sz w:val="22"/>
        </w:rPr>
        <w:t>Il convient de déterminer les recettes 2015 pour une année entière, soit (60 000/306) x365=71 569€</w:t>
      </w:r>
    </w:p>
    <w:p>
      <w:pPr>
        <w:spacing w:before="0" w:after="180" w:line="264" w:lineRule="auto"/>
        <w:ind w:firstLine="340"/>
        <w:jc w:val="both"/>
      </w:pPr>
      <w:r>
        <w:rPr>
          <w:rFonts w:ascii="Cambria" w:hAnsi="Cambria"/>
          <w:b w:val="0"/>
          <w:i w:val="0"/>
          <w:color w:val="141A21"/>
          <w:sz w:val="22"/>
        </w:rPr>
        <w:t>Le seuil de 70 000€ est dépassé sur les années de référence, il ne pourra pas bénéficier du régime micro en 2017 puisque lors des 2 années de référence de ses revenus hors taxe dépassaient 70 000€.</w:t>
      </w:r>
    </w:p>
    <w:p>
      <w:pPr>
        <w:spacing w:before="0" w:after="180" w:line="264" w:lineRule="auto"/>
        <w:ind w:firstLine="340"/>
        <w:jc w:val="both"/>
      </w:pPr>
      <w:r>
        <w:rPr>
          <w:rFonts w:ascii="Cambria" w:hAnsi="Cambria"/>
          <w:b w:val="0"/>
          <w:i w:val="0"/>
          <w:color w:val="141A21"/>
          <w:sz w:val="22"/>
        </w:rPr>
        <w:t>Dans le cas ou plusieurs membres d’un foyer fiscal exploitent des activités différentes, il convient d’effectuer pour chacun d’eux les calculs pour déterminer s’ils peuvent bénéficier du régime micro.</w:t>
      </w:r>
    </w:p>
    <w:p>
      <w:pPr>
        <w:spacing w:before="0" w:after="180" w:line="264" w:lineRule="auto"/>
        <w:ind w:firstLine="340"/>
        <w:jc w:val="both"/>
      </w:pPr>
      <w:r>
        <w:rPr>
          <w:rFonts w:ascii="Cambria" w:hAnsi="Cambria"/>
          <w:b w:val="0"/>
          <w:i w:val="0"/>
          <w:color w:val="141A21"/>
          <w:sz w:val="22"/>
        </w:rPr>
        <w:t>Si une même personne exerce plusieurs activités BNC, il convient d’analyser l’ensemble des revenus de toutes ses activités pour déterminer s’il peut bénéficier du régime micro et en cas de dépassement du seuil ces toutes les activités qui ressortent du régime micro.</w:t>
      </w:r>
    </w:p>
    <w:p>
      <w:pPr>
        <w:spacing w:before="0" w:after="180" w:line="264" w:lineRule="auto"/>
        <w:ind w:firstLine="340"/>
        <w:jc w:val="both"/>
      </w:pPr>
      <w:r>
        <w:rPr>
          <w:rFonts w:ascii="Cambria" w:hAnsi="Cambria"/>
          <w:b w:val="0"/>
          <w:i w:val="0"/>
          <w:color w:val="141A21"/>
          <w:sz w:val="22"/>
        </w:rPr>
        <w:t>Il arrive également qu’un entrepreneur exerce une activité BNC et BIC dans la même entreprise, dans ce cas il convient d’analyser 2 situations :</w:t>
      </w:r>
    </w:p>
    <w:p>
      <w:pPr>
        <w:spacing w:before="0" w:after="180" w:line="264" w:lineRule="auto"/>
        <w:ind w:firstLine="340"/>
        <w:jc w:val="both"/>
      </w:pPr>
      <w:r>
        <w:rPr>
          <w:rFonts w:ascii="Cambria" w:hAnsi="Cambria"/>
          <w:b w:val="0"/>
          <w:i w:val="0"/>
          <w:color w:val="141A21"/>
          <w:sz w:val="22"/>
        </w:rPr>
        <w:t>Les activités BNC et BIC n’ont pas de lien entre elles, de ce fait elles sont imposées distinctement. Si le cumul des recettes des 2 activités dépasse le seuil de 70 000€ il convient de ne pas appliquer le régime micro aux 2 activités ;</w:t>
      </w:r>
    </w:p>
    <w:p>
      <w:pPr>
        <w:spacing w:before="0" w:after="180" w:line="264" w:lineRule="auto"/>
        <w:ind w:firstLine="340"/>
        <w:jc w:val="both"/>
      </w:pPr>
      <w:r>
        <w:rPr>
          <w:rFonts w:ascii="Cambria" w:hAnsi="Cambria"/>
          <w:b w:val="0"/>
          <w:i w:val="0"/>
          <w:color w:val="141A21"/>
          <w:sz w:val="22"/>
        </w:rPr>
        <w:t>Les activités BNC et BIC sont liées en considérant qu’il y a une activité principale et une activité accessoire à la principale et de ce fait les 2 revenus sont déclarés dans la même catégorie de l’activité principale, de ce fait il convient de totaliser l’ensemble des recettes pour vérifié si le seuil n’est pas dépassé.</w:t>
      </w:r>
    </w:p>
    <w:p>
      <w:pPr>
        <w:spacing w:before="0" w:after="180" w:line="264" w:lineRule="auto"/>
        <w:ind w:firstLine="340"/>
        <w:jc w:val="both"/>
      </w:pPr>
      <w:r>
        <w:rPr>
          <w:rFonts w:ascii="Cambria" w:hAnsi="Cambria"/>
          <w:b w:val="0"/>
          <w:i w:val="0"/>
          <w:color w:val="141A21"/>
          <w:sz w:val="22"/>
        </w:rPr>
        <w:t>Dans le même souci de simplification ils peuvent opter pour le statut de « micro-entrepreneur » qui leur permet de s’acquitter de leur impôt sur le revenu et de leurs cotisations sociales en appliquant un taux forfaitaire</w:t>
      </w:r>
    </w:p>
    <w:p>
      <w:pPr>
        <w:spacing w:before="0" w:after="180" w:line="264" w:lineRule="auto"/>
        <w:ind w:firstLine="340"/>
        <w:jc w:val="both"/>
      </w:pPr>
      <w:r>
        <w:rPr>
          <w:rFonts w:ascii="Cambria" w:hAnsi="Cambria"/>
          <w:b w:val="0"/>
          <w:i w:val="0"/>
          <w:color w:val="141A21"/>
          <w:sz w:val="22"/>
        </w:rPr>
        <w:t>Ils peuvent renoncer à l’application du régime micro-BNC en optant pour le régime de la déclaration contrôlée.</w:t>
      </w:r>
    </w:p>
    <w:p>
      <w:pPr>
        <w:spacing w:before="0" w:after="180" w:line="264" w:lineRule="auto"/>
        <w:ind w:firstLine="340"/>
        <w:jc w:val="both"/>
      </w:pPr>
      <w:r>
        <w:rPr>
          <w:rFonts w:ascii="Cambria" w:hAnsi="Cambria"/>
          <w:b w:val="0"/>
          <w:i w:val="0"/>
          <w:color w:val="141A21"/>
          <w:sz w:val="22"/>
        </w:rPr>
        <w:t>Cette option est valable pour une année et renouvelable par tacite reconduction. L’option doit être formulée pour la première fois avant le deuxième jour ouvré après le 1er mai de l’année suivante (N+1).</w:t>
      </w:r>
    </w:p>
    <w:p>
      <w:pPr>
        <w:spacing w:before="0" w:after="180" w:line="264" w:lineRule="auto"/>
        <w:ind w:firstLine="340"/>
        <w:jc w:val="both"/>
      </w:pPr>
      <w:r>
        <w:rPr>
          <w:rFonts w:ascii="Cambria" w:hAnsi="Cambria"/>
          <w:b w:val="0"/>
          <w:i w:val="0"/>
          <w:color w:val="141A21"/>
          <w:sz w:val="22"/>
        </w:rPr>
        <w:t>Si vous souhaitez bénéficier du régime de la déclaration contrôlée pour l’exercice 2018 il convient que vous fassiez votre option avant le 3 mai 2019. Cette option est matérialisée par le fait que vous déposiez auprès de l’administration fiscale une déclaration contrôlée de revenus professionnels dite 2035. Une fois exercée l’option est tacitement renouvelée et le contribuable dépose auprès de l’administration une déclaration 2035 chaque année.</w:t>
      </w:r>
    </w:p>
    <w:p>
      <w:pPr>
        <w:spacing w:before="0" w:after="180" w:line="264" w:lineRule="auto"/>
        <w:ind w:firstLine="340"/>
        <w:jc w:val="both"/>
      </w:pPr>
      <w:r>
        <w:rPr>
          <w:rFonts w:ascii="Cambria" w:hAnsi="Cambria"/>
          <w:b w:val="0"/>
          <w:i w:val="0"/>
          <w:color w:val="141A21"/>
          <w:sz w:val="22"/>
        </w:rPr>
        <w:t>Dans le cas ou le professionnel libéral souhaite renoncer à son option, il doit formuler sur papier libre sa décision qu’il transmet à l’administration fiscale (je lui conseille par lettre recommandée avec accusé de réception) et cela avant le 1er février de l’année souhaité. Par exemple si vous souhaitez ne plus bénéficier de l’application du régime de déclaration contrôlée pour l’année 2019, il convient que vous fassiez votre renonciation au plus tard le 1er février 2019.</w:t>
      </w:r>
    </w:p>
    <w:p>
      <w:pPr>
        <w:spacing w:before="0" w:after="180" w:line="264" w:lineRule="auto"/>
        <w:ind w:firstLine="340"/>
        <w:jc w:val="both"/>
      </w:pPr>
      <w:r>
        <w:rPr>
          <w:rFonts w:ascii="Cambria" w:hAnsi="Cambria"/>
          <w:b w:val="0"/>
          <w:i w:val="0"/>
          <w:color w:val="141A21"/>
          <w:sz w:val="22"/>
        </w:rPr>
        <w:t>Petit focus sur le régime micro-social qui est augmenté dans les mêmes proportions que le régime micro-BNC qui est dès le 1er janvier 2018, attribué à l’URSSAF et plus au RSI (régime social des indépendants). La différence est essentiellement que les seuils s’appliquent pour l’année 2018 pour le micro-social alors qu’ils s’appliquent pour les revenus 2017 pour le fiscal.</w:t>
      </w:r>
    </w:p>
    <w:p>
      <w:pPr>
        <w:spacing w:before="0" w:after="180" w:line="264" w:lineRule="auto"/>
        <w:ind w:firstLine="340"/>
        <w:jc w:val="both"/>
      </w:pPr>
      <w:r>
        <w:rPr>
          <w:rFonts w:ascii="Cambria" w:hAnsi="Cambria"/>
          <w:b w:val="0"/>
          <w:i w:val="0"/>
          <w:color w:val="141A21"/>
          <w:sz w:val="22"/>
        </w:rPr>
        <w:t>Le régime « micro-BNC » est déconnecté du régime de franchise en base de TVA. Si le seuil de chiffre d’affaires à augmenté pour l’imposition de l’impôt sur le revenu il n’en est pas de même pour le seuil d’assujettissement à la TVA ; de ce fait vous pouvez très bien relever du régime « micro-BNC » et être assujettis à la TVA. Mais pourquoi donc ? cela reste les mystères des fantômes du palais Brongniart où siègent nos députés qui votent nos lois, ou bien que les amendements des lois ont été présentés trop tard dans la nuit pour qu’ils se souviennent d’une incohérence, en tout cas je n’ai toujours pas compris. Mais cela à des conséquences.car en cas de constatation du dépassement du seuil la TVA est applicable dès le 1er jour du mois suivant et cela a des conséquences sur la détermination du prix de vente de vos prestations et de votre organisation comptable.</w:t>
      </w:r>
    </w:p>
    <w:p>
      <w:pPr>
        <w:pStyle w:val="Heading3"/>
        <w:spacing w:before="400" w:after="100" w:line="276" w:lineRule="auto"/>
      </w:pPr>
      <w:r>
        <w:rPr>
          <w:rFonts w:ascii="Calibri" w:hAnsi="Calibri"/>
          <w:b/>
          <w:i w:val="0"/>
          <w:color w:val="141A21"/>
          <w:sz w:val="27"/>
        </w:rPr>
        <w:t>Le régime micro-BIC</w:t>
      </w:r>
    </w:p>
    <w:p>
      <w:pPr>
        <w:spacing w:before="0" w:after="180" w:line="264" w:lineRule="auto"/>
        <w:jc w:val="both"/>
      </w:pPr>
      <w:r>
        <w:rPr>
          <w:rFonts w:ascii="Cambria" w:hAnsi="Cambria"/>
          <w:b w:val="0"/>
          <w:i w:val="0"/>
          <w:color w:val="141A21"/>
          <w:sz w:val="22"/>
        </w:rPr>
        <w:t>Micro BIC</w:t>
      </w:r>
    </w:p>
    <w:p>
      <w:pPr>
        <w:spacing w:before="0" w:after="180" w:line="264" w:lineRule="auto"/>
        <w:ind w:firstLine="340"/>
        <w:jc w:val="both"/>
      </w:pPr>
      <w:r>
        <w:rPr>
          <w:rFonts w:ascii="Cambria" w:hAnsi="Cambria"/>
          <w:b w:val="0"/>
          <w:i w:val="0"/>
          <w:color w:val="141A21"/>
          <w:sz w:val="22"/>
        </w:rPr>
        <w:t>Le raisonnement est identique que pour le « micro-BNC », avec la différenciation essentielle que le seuil de chiffre d’affaires hors taxe est porté de 82 800€ à 170 000€ pour les activités de ventes et de 33 200€ à 70 000€ pour les activités de prestations de services ; les règles de calcul de la valeur ajoutée sont simplifiées pour les titulaires de BIC relevant du régime du micro-BIC ayant un chiffre d’affaires hors taxe dépassant 152 500€, ils sont tenus de déposer une déclaration CVAE (contribution sur la valeur ajoutée des entreprises).</w:t>
      </w:r>
    </w:p>
    <w:p>
      <w:pPr>
        <w:spacing w:before="0" w:after="180" w:line="264" w:lineRule="auto"/>
        <w:ind w:firstLine="340"/>
        <w:jc w:val="both"/>
      </w:pPr>
      <w:r>
        <w:rPr>
          <w:rFonts w:ascii="Cambria" w:hAnsi="Cambria"/>
          <w:b w:val="0"/>
          <w:i w:val="0"/>
          <w:color w:val="141A21"/>
          <w:sz w:val="22"/>
        </w:rPr>
        <w:t>La détermination du résultat imposable à l’impôt sur le revenu est simplifiant en appliquant un abattement forfaitaire représentant l’ensemble des charges de 71% au montant du chiffre d’affaires hors taxes encaissé pour une activité de « négoce » (vente de marchandises) ou de 50% pour une activité de prestataire de services</w:t>
      </w:r>
    </w:p>
    <w:p>
      <w:pPr>
        <w:spacing w:before="0" w:after="180" w:line="264" w:lineRule="auto"/>
        <w:ind w:firstLine="340"/>
        <w:jc w:val="both"/>
      </w:pPr>
      <w:r>
        <w:rPr>
          <w:rFonts w:ascii="Cambria" w:hAnsi="Cambria"/>
          <w:b w:val="0"/>
          <w:i w:val="0"/>
          <w:color w:val="141A21"/>
          <w:sz w:val="22"/>
        </w:rPr>
        <w:t>Les contribuables qui exercent certaines activités sont exclus du régime de « micro-BIC » et cela quelque soit le chiffre d’affaires réalisé, comme :</w:t>
      </w:r>
    </w:p>
    <w:p>
      <w:pPr>
        <w:spacing w:before="0" w:after="180" w:line="264" w:lineRule="auto"/>
        <w:ind w:firstLine="340"/>
        <w:jc w:val="both"/>
      </w:pPr>
      <w:r>
        <w:rPr>
          <w:rFonts w:ascii="Cambria" w:hAnsi="Cambria"/>
          <w:b w:val="0"/>
          <w:i w:val="0"/>
          <w:color w:val="141A21"/>
          <w:sz w:val="22"/>
        </w:rPr>
        <w:t>des opérations portant sur des immeubles, des fonds de commerce ou des titres de sociétés immobilières et doivent déclarer leurs revenus au titre des BIC ;</w:t>
      </w:r>
    </w:p>
    <w:p>
      <w:pPr>
        <w:spacing w:before="0" w:after="180" w:line="264" w:lineRule="auto"/>
        <w:ind w:firstLine="340"/>
        <w:jc w:val="both"/>
      </w:pPr>
      <w:r>
        <w:rPr>
          <w:rFonts w:ascii="Cambria" w:hAnsi="Cambria"/>
          <w:b w:val="0"/>
          <w:i w:val="0"/>
          <w:color w:val="141A21"/>
          <w:sz w:val="22"/>
        </w:rPr>
        <w:t>des opérations de location de matériels ou de biens de consommation durable sauf s’il s’agit d’opération accessoire à l’activité BIC ;</w:t>
      </w:r>
    </w:p>
    <w:p>
      <w:pPr>
        <w:spacing w:before="0" w:after="180" w:line="264" w:lineRule="auto"/>
        <w:ind w:firstLine="340"/>
        <w:jc w:val="both"/>
      </w:pPr>
      <w:r>
        <w:rPr>
          <w:rFonts w:ascii="Cambria" w:hAnsi="Cambria"/>
          <w:b w:val="0"/>
          <w:i w:val="0"/>
          <w:color w:val="141A21"/>
          <w:sz w:val="22"/>
        </w:rPr>
        <w:t>des opérations, à titre professionnel, sur des instruments financiers à terme ;</w:t>
      </w:r>
    </w:p>
    <w:p>
      <w:pPr>
        <w:spacing w:before="0" w:after="180" w:line="264" w:lineRule="auto"/>
        <w:ind w:firstLine="340"/>
        <w:jc w:val="both"/>
      </w:pPr>
      <w:r>
        <w:rPr>
          <w:rFonts w:ascii="Cambria" w:hAnsi="Cambria"/>
          <w:b w:val="0"/>
          <w:i w:val="0"/>
          <w:color w:val="141A21"/>
          <w:sz w:val="22"/>
        </w:rPr>
        <w:t>de l’activité réalisée alors que les bien affectés à l’exploitation de l’activité professionnelle sont inscrit dan le patrimoine d’une fiducie définie à l’article 2011 du code civil ;</w:t>
      </w:r>
    </w:p>
    <w:p>
      <w:pPr>
        <w:spacing w:before="0" w:after="180" w:line="264" w:lineRule="auto"/>
        <w:ind w:firstLine="340"/>
        <w:jc w:val="both"/>
      </w:pPr>
      <w:r>
        <w:rPr>
          <w:rFonts w:ascii="Cambria" w:hAnsi="Cambria"/>
          <w:b w:val="0"/>
          <w:i w:val="0"/>
          <w:color w:val="141A21"/>
          <w:sz w:val="22"/>
        </w:rPr>
        <w:t>des revenus qui proviennent d’un fonds de placement immobilier imposables dans les conditions définies au « e du 1 du II de l’article 239 nonioes du CGI » ;</w:t>
      </w:r>
    </w:p>
    <w:p>
      <w:pPr>
        <w:spacing w:before="0" w:after="180" w:line="264" w:lineRule="auto"/>
        <w:ind w:firstLine="340"/>
        <w:jc w:val="both"/>
      </w:pPr>
      <w:r>
        <w:rPr>
          <w:rFonts w:ascii="Cambria" w:hAnsi="Cambria"/>
          <w:b w:val="0"/>
          <w:i w:val="0"/>
          <w:color w:val="141A21"/>
          <w:sz w:val="22"/>
        </w:rPr>
        <w:t>des revenus d’une activité occulte par le fait que l’activité ne soit pas déclarée.</w:t>
      </w:r>
    </w:p>
    <w:p>
      <w:pPr>
        <w:spacing w:before="0" w:after="180" w:line="264" w:lineRule="auto"/>
        <w:ind w:firstLine="340"/>
        <w:jc w:val="both"/>
      </w:pPr>
      <w:r>
        <w:rPr>
          <w:rFonts w:ascii="Cambria" w:hAnsi="Cambria"/>
          <w:b w:val="0"/>
          <w:i w:val="0"/>
          <w:color w:val="141A21"/>
          <w:sz w:val="22"/>
        </w:rPr>
        <w:t>ce régime de « micro-BIC » s’applique au titre d’une année, après retraitement du prorata temporis, aux contribuables BIC dont le chiffre d’affaires ne dépasse pas :</w:t>
      </w:r>
    </w:p>
    <w:p>
      <w:pPr>
        <w:spacing w:before="0" w:after="180" w:line="264" w:lineRule="auto"/>
        <w:ind w:firstLine="340"/>
        <w:jc w:val="both"/>
      </w:pPr>
      <w:r>
        <w:rPr>
          <w:rFonts w:ascii="Cambria" w:hAnsi="Cambria"/>
          <w:b w:val="0"/>
          <w:i w:val="0"/>
          <w:color w:val="141A21"/>
          <w:sz w:val="22"/>
        </w:rPr>
        <w:t>pour les activités de livraison de biens, de ventes à consommer sur place ou à emporter et les prestations d’hébergement autres que la location meublée :</w:t>
      </w:r>
    </w:p>
    <w:p>
      <w:pPr>
        <w:spacing w:before="0" w:after="180" w:line="264" w:lineRule="auto"/>
        <w:ind w:firstLine="340"/>
        <w:jc w:val="both"/>
      </w:pPr>
      <w:r>
        <w:rPr>
          <w:rFonts w:ascii="Cambria" w:hAnsi="Cambria"/>
          <w:b w:val="0"/>
          <w:i w:val="0"/>
          <w:color w:val="141A21"/>
          <w:sz w:val="22"/>
        </w:rPr>
        <w:t>170 000€ l’année civile N-1 ;</w:t>
      </w:r>
    </w:p>
    <w:p>
      <w:pPr>
        <w:spacing w:before="0" w:after="180" w:line="264" w:lineRule="auto"/>
        <w:ind w:firstLine="340"/>
        <w:jc w:val="both"/>
      </w:pPr>
      <w:r>
        <w:rPr>
          <w:rFonts w:ascii="Cambria" w:hAnsi="Cambria"/>
          <w:b w:val="0"/>
          <w:i w:val="0"/>
          <w:color w:val="141A21"/>
          <w:sz w:val="22"/>
        </w:rPr>
        <w:t>170 000€ l’année N-2 lorsque le chiffre d’affaires a dépassé 170 000€ en N-1.</w:t>
      </w:r>
    </w:p>
    <w:p>
      <w:pPr>
        <w:spacing w:before="0" w:after="180" w:line="264" w:lineRule="auto"/>
        <w:ind w:firstLine="340"/>
        <w:jc w:val="both"/>
      </w:pPr>
      <w:r>
        <w:rPr>
          <w:rFonts w:ascii="Cambria" w:hAnsi="Cambria"/>
          <w:b w:val="0"/>
          <w:i w:val="0"/>
          <w:color w:val="141A21"/>
          <w:sz w:val="22"/>
        </w:rPr>
        <w:t>Pour les autres activités de prestations de services :</w:t>
      </w:r>
    </w:p>
    <w:p>
      <w:pPr>
        <w:spacing w:before="0" w:after="180" w:line="264" w:lineRule="auto"/>
        <w:ind w:firstLine="340"/>
        <w:jc w:val="both"/>
      </w:pPr>
      <w:r>
        <w:rPr>
          <w:rFonts w:ascii="Cambria" w:hAnsi="Cambria"/>
          <w:b w:val="0"/>
          <w:i w:val="0"/>
          <w:color w:val="141A21"/>
          <w:sz w:val="22"/>
        </w:rPr>
        <w:t>70 000€ l’année civile N-1 ;</w:t>
      </w:r>
    </w:p>
    <w:p>
      <w:pPr>
        <w:spacing w:before="0" w:after="180" w:line="264" w:lineRule="auto"/>
        <w:ind w:firstLine="340"/>
        <w:jc w:val="both"/>
      </w:pPr>
      <w:r>
        <w:rPr>
          <w:rFonts w:ascii="Cambria" w:hAnsi="Cambria"/>
          <w:b w:val="0"/>
          <w:i w:val="0"/>
          <w:color w:val="141A21"/>
          <w:sz w:val="22"/>
        </w:rPr>
        <w:t>70 000€ l’année N-2 lorsque le chiffre d’affaires a dépassé 70 000€ en N-1.</w:t>
      </w:r>
    </w:p>
    <w:p>
      <w:pPr>
        <w:spacing w:before="0" w:after="180" w:line="264" w:lineRule="auto"/>
        <w:ind w:firstLine="340"/>
        <w:jc w:val="both"/>
      </w:pPr>
      <w:r>
        <w:rPr>
          <w:rFonts w:ascii="Cambria" w:hAnsi="Cambria"/>
          <w:b w:val="0"/>
          <w:i w:val="0"/>
          <w:color w:val="141A21"/>
          <w:sz w:val="22"/>
        </w:rPr>
        <w:t>Ces dispositions s’appliquent également à compter de l’année 2017.</w:t>
      </w:r>
    </w:p>
    <w:p>
      <w:pPr>
        <w:spacing w:before="0" w:after="180" w:line="264" w:lineRule="auto"/>
        <w:ind w:firstLine="340"/>
        <w:jc w:val="both"/>
      </w:pPr>
      <w:r>
        <w:rPr>
          <w:rFonts w:ascii="Cambria" w:hAnsi="Cambria"/>
          <w:b w:val="0"/>
          <w:i w:val="0"/>
          <w:color w:val="141A21"/>
          <w:sz w:val="22"/>
        </w:rPr>
        <w:t>Le chiffre d’affaires à prendre en compte pour déterminer les seuils est retenu sur une base hors taxes même si le titulaire n’est pas assujetti à la TVA</w:t>
      </w:r>
    </w:p>
    <w:p>
      <w:pPr>
        <w:pStyle w:val="Heading3"/>
        <w:spacing w:before="400" w:after="100" w:line="276" w:lineRule="auto"/>
      </w:pPr>
      <w:r>
        <w:rPr>
          <w:rFonts w:ascii="Calibri" w:hAnsi="Calibri"/>
          <w:b/>
          <w:i w:val="0"/>
          <w:color w:val="141A21"/>
          <w:sz w:val="27"/>
        </w:rPr>
        <w:t>Le régime réel</w:t>
      </w:r>
    </w:p>
    <w:p>
      <w:pPr>
        <w:spacing w:before="0" w:after="180" w:line="264" w:lineRule="auto"/>
        <w:jc w:val="both"/>
      </w:pPr>
      <w:r>
        <w:rPr>
          <w:rFonts w:ascii="Cambria" w:hAnsi="Cambria"/>
          <w:b w:val="0"/>
          <w:i w:val="0"/>
          <w:color w:val="141A21"/>
          <w:sz w:val="22"/>
        </w:rPr>
        <w:t>Le régime du réel consiste à enregistrer l’ensemble des opérations économiques dans une comptabilité ce qui permet d’établir un compte de résultat imposable et un bilan. En fait le régime réel traduit la réalité de la gestion de l’entreprise en enregistrant les factures (de vente à nos clients ou d’achat provenant de nos fournisseurs) dans une comptabilité.</w:t>
      </w:r>
    </w:p>
    <w:p>
      <w:pPr>
        <w:spacing w:before="0" w:after="180" w:line="264" w:lineRule="auto"/>
        <w:ind w:firstLine="340"/>
        <w:jc w:val="both"/>
      </w:pPr>
      <w:r>
        <w:rPr>
          <w:rFonts w:ascii="Cambria" w:hAnsi="Cambria"/>
          <w:b w:val="0"/>
          <w:i w:val="0"/>
          <w:color w:val="141A21"/>
          <w:sz w:val="22"/>
        </w:rPr>
        <w:t>Il convient de distinguer le régime réel des indépendants pour les BNC, qui permet d’établir une déclaration contrôlée dite « déclaration 2035 » du numéro du bordereau CERFA, de celui des BIC qui se traduit par l’établissement d’un bilan comportant les déclarations 2031 (sur laquelle apparait le résultat imposable) et soit les bordereaux 2033 (si le contribuable est soumis au régime du réel simplifié) soit les bordereaux 2050 (si le contribuable est soumis au régime du réel normal).</w:t>
      </w:r>
    </w:p>
    <w:p>
      <w:pPr>
        <w:spacing w:before="0" w:after="180" w:line="264" w:lineRule="auto"/>
        <w:ind w:firstLine="340"/>
        <w:jc w:val="both"/>
      </w:pPr>
      <w:r>
        <w:rPr>
          <w:rFonts w:ascii="Cambria" w:hAnsi="Cambria"/>
          <w:b w:val="0"/>
          <w:i w:val="0"/>
          <w:color w:val="141A21"/>
          <w:sz w:val="22"/>
        </w:rPr>
        <w:t>La distinction entre régime simplifié ou normal est surtout pour la gestion de la TVA car en cas de régime simplifié le contribuable règle au cours de l’année des acomptes et une déclaration de TVA comportant l’ensemble de la période d’activité est établie en fin d’exercice alors qu’en cas de régime normal une déclaration de TVA doit être effectuée chaque mois.</w:t>
      </w:r>
    </w:p>
    <w:p>
      <w:pPr>
        <w:spacing w:before="0" w:after="180" w:line="264" w:lineRule="auto"/>
        <w:ind w:firstLine="340"/>
        <w:jc w:val="both"/>
      </w:pPr>
      <w:r>
        <w:rPr>
          <w:rFonts w:ascii="Cambria" w:hAnsi="Cambria"/>
          <w:b w:val="0"/>
          <w:i w:val="0"/>
          <w:color w:val="141A21"/>
          <w:sz w:val="22"/>
        </w:rPr>
        <w:t>En conclusion de ce chapitre, je pourrais insister sur le fait que le système du régime MICRO peut être intéressant à mes yeux dans 2 cas , soit parce que vous démarrez votre projet professionnel et vous ne savez pas vraiment si votre activité va réaliser des produits et de ce fait vous souhaitez limiter les charges ou parce que vous avez encore un statut de salarié dans une entreprise et vous souhaitez expérimenter une activité avant de vous décider à quitter votre job de salarié. Passer ces 2 cas, je préfère le régime dit « réel » de l’établissement des comptes car le résultat déterminé et donc imposable reflète réellement la situation économique de votre entreprise et si vous dégager un résultat (produits – charges) en déficit ce qui veut dire la plupart du temps que vous n’avez pas gagner d’argent, de ce fait vous ne payé pas d’impôt alors que le régime de « micro » vous payez toujours quelque chose à l’administration des que vous faite des encaissements de vos clients.</w:t>
      </w:r>
    </w:p>
    <w:p>
      <w:r>
        <w:br w:type="page"/>
      </w:r>
    </w:p>
    <w:p>
      <w:pPr>
        <w:pStyle w:val="Heading2"/>
        <w:spacing w:before="240" w:after="200" w:line="276" w:lineRule="auto"/>
      </w:pPr>
      <w:r>
        <w:rPr>
          <w:rFonts w:ascii="Calibri" w:hAnsi="Calibri"/>
          <w:b/>
          <w:i w:val="0"/>
          <w:color w:val="B05A3C"/>
          <w:sz w:val="36"/>
        </w:rPr>
        <w:t>Chapitre 6 — L'investissement immobilier</w:t>
      </w:r>
    </w:p>
    <w:p>
      <w:pPr>
        <w:spacing w:before="0" w:after="180" w:line="264" w:lineRule="auto"/>
        <w:jc w:val="both"/>
      </w:pPr>
      <w:r>
        <w:rPr>
          <w:rFonts w:ascii="Cambria" w:hAnsi="Cambria"/>
          <w:b w:val="0"/>
          <w:i w:val="0"/>
          <w:color w:val="141A21"/>
          <w:sz w:val="22"/>
        </w:rPr>
        <w:t>ET L’IMMOBILIER CA VOUS INTERESSE ?</w:t>
      </w:r>
    </w:p>
    <w:p>
      <w:pPr>
        <w:pStyle w:val="Heading3"/>
        <w:spacing w:before="400" w:after="100" w:line="276" w:lineRule="auto"/>
      </w:pPr>
      <w:r>
        <w:rPr>
          <w:rFonts w:ascii="Calibri" w:hAnsi="Calibri"/>
          <w:b/>
          <w:i w:val="0"/>
          <w:color w:val="141A21"/>
          <w:sz w:val="27"/>
        </w:rPr>
        <w:t>Ma passion pour l'immobilier et mes lectures</w:t>
      </w:r>
    </w:p>
    <w:p>
      <w:pPr>
        <w:spacing w:before="0" w:after="180" w:line="264" w:lineRule="auto"/>
        <w:jc w:val="both"/>
      </w:pPr>
      <w:r>
        <w:rPr>
          <w:rFonts w:ascii="Cambria" w:hAnsi="Cambria"/>
          <w:b w:val="0"/>
          <w:i w:val="0"/>
          <w:color w:val="141A21"/>
          <w:sz w:val="22"/>
        </w:rPr>
        <w:t>Je vous ai indiqué que j’ai commencé ma carrière dans le monde de l’immobilier. J’ai toujours aimé ce secteur car en faisant de l’immobilier on construit je dirai même en référence à mon ami Franck « le photographe » on bâti des cathédrales. Néanmoins cet engouement demande beaucoup de trésorerie et le risque peut être très important si nous ne « comprenons » pas la gymnastique économique de l’investisseur. Plusieurs livres et séminaires retracent les parcours de personnes qui ont « réussies » dans ce domaine ; je vous laisserais donc vous rapprocher de leurs ouvrages.</w:t>
      </w:r>
    </w:p>
    <w:p>
      <w:pPr>
        <w:spacing w:before="0" w:after="180" w:line="264" w:lineRule="auto"/>
        <w:ind w:firstLine="340"/>
        <w:jc w:val="both"/>
      </w:pPr>
      <w:r>
        <w:rPr>
          <w:rFonts w:ascii="Cambria" w:hAnsi="Cambria"/>
          <w:b w:val="0"/>
          <w:i w:val="0"/>
          <w:color w:val="141A21"/>
          <w:sz w:val="22"/>
        </w:rPr>
        <w:t>Le premier qui m’a donné envie d’écrire le mien c’est celui de Romain CAILLET intitulé « Adieu Patron ». Dans son ouvrage il explique comment il a su développer son patrimoine immobilier acquis en nom propre via le système du micro-foncier et du LMNP.</w:t>
      </w:r>
    </w:p>
    <w:p>
      <w:pPr>
        <w:spacing w:before="0" w:after="180" w:line="264" w:lineRule="auto"/>
        <w:ind w:firstLine="340"/>
        <w:jc w:val="both"/>
      </w:pPr>
      <w:r>
        <w:rPr>
          <w:rFonts w:ascii="Cambria" w:hAnsi="Cambria"/>
          <w:b w:val="0"/>
          <w:i w:val="0"/>
          <w:color w:val="141A21"/>
          <w:sz w:val="22"/>
        </w:rPr>
        <w:t>Deux ouvrages m’ont inspiré dernièrement l’un écrit par François LE BRIS sur le LMPN et l’autre par Mickael ZONTA sur l’investissement locatif. Le premier est plus technique François étant expert-comptable associé au sein du réseau COMPTACOM et celui de Mickael est plus dans la gestion de son patrimoine illustré par des exemples vécus par cet entrepreneur aguerri. J’ai apprécié les 2, vous me direz ce que vous en pensez après les avoir lu, ils sont tous les 2 à la FNAC.</w:t>
      </w:r>
    </w:p>
    <w:p>
      <w:pPr>
        <w:pStyle w:val="Heading3"/>
        <w:spacing w:before="400" w:after="100" w:line="276" w:lineRule="auto"/>
      </w:pPr>
      <w:r>
        <w:rPr>
          <w:rFonts w:ascii="Calibri" w:hAnsi="Calibri"/>
          <w:b/>
          <w:i w:val="0"/>
          <w:color w:val="141A21"/>
          <w:sz w:val="27"/>
        </w:rPr>
        <w:t>La méthode d'investissement de Mickaël Zonta</w:t>
      </w:r>
    </w:p>
    <w:p>
      <w:pPr>
        <w:spacing w:before="0" w:after="180" w:line="264" w:lineRule="auto"/>
        <w:jc w:val="both"/>
      </w:pPr>
      <w:r>
        <w:rPr>
          <w:rFonts w:ascii="Cambria" w:hAnsi="Cambria"/>
          <w:b w:val="0"/>
          <w:i w:val="0"/>
          <w:color w:val="141A21"/>
          <w:sz w:val="22"/>
        </w:rPr>
        <w:t>J'ai le privilège d'avoir rencontré Mickael ZONTA avec son associé Manuel RAVIER, il y a plusieurs années quand nous participions aux séminaires de Cédric ANNICETTE qui indique toujours que l'immobilier a engendré plus de millionnaires sur la planète que n'importe quelle autre profession. Mickael m'avait frappé dans son discours d'investisseur immobilier et ces "répliques" je les aie retrouvées dans son ouvrage que j'ai trouvé à la FNAC. Il a l'habitude de dire que "travailler pour vivre n'est plus une nécessité ; le travail est désormais un choix"</w:t>
      </w:r>
    </w:p>
    <w:p>
      <w:pPr>
        <w:spacing w:before="0" w:after="180" w:line="264" w:lineRule="auto"/>
        <w:ind w:firstLine="340"/>
        <w:jc w:val="both"/>
      </w:pPr>
      <w:r>
        <w:rPr>
          <w:rFonts w:ascii="Cambria" w:hAnsi="Cambria"/>
          <w:b w:val="0"/>
          <w:i w:val="0"/>
          <w:color w:val="141A21"/>
          <w:sz w:val="22"/>
        </w:rPr>
        <w:t>Sa logique d'investisseur immobilier est imparable comme sa démonstration dans son livre, sur le fait que lors d'un investissement il faut mieux effectuée une remise à neuf complète de l'immeuble car vous étalez la charge des travaux sur 20 ans alors que si vous financer le bien et que quelques années après vous devez réaliser des travaux comme la toiture, la banque pourra vous financer mais sur une durée plus courte.</w:t>
      </w:r>
    </w:p>
    <w:p>
      <w:pPr>
        <w:spacing w:before="0" w:after="180" w:line="264" w:lineRule="auto"/>
        <w:ind w:firstLine="340"/>
        <w:jc w:val="both"/>
      </w:pPr>
      <w:r>
        <w:rPr>
          <w:rFonts w:ascii="Cambria" w:hAnsi="Cambria"/>
          <w:b w:val="0"/>
          <w:i w:val="0"/>
          <w:color w:val="141A21"/>
          <w:sz w:val="22"/>
        </w:rPr>
        <w:t>Sa réponse aux cassandres sur les loyers impayés, le taux de loyers impayés en France est inférieure à 3% ? et cette statistique inclut le logement social et le logement privé.</w:t>
      </w:r>
    </w:p>
    <w:p>
      <w:pPr>
        <w:spacing w:before="0" w:after="180" w:line="264" w:lineRule="auto"/>
        <w:ind w:firstLine="340"/>
        <w:jc w:val="both"/>
      </w:pPr>
      <w:r>
        <w:rPr>
          <w:rFonts w:ascii="Cambria" w:hAnsi="Cambria"/>
          <w:b w:val="0"/>
          <w:i w:val="0"/>
          <w:color w:val="141A21"/>
          <w:sz w:val="22"/>
        </w:rPr>
        <w:t>De plus son expérience et son œil d'expert dans la reconfiguration d'un logement, comment il entrevoit la transformation d'un grand T1 en petit T2 en vous expliquant et en chiffrant l'intérêt de l'opération</w:t>
      </w:r>
    </w:p>
    <w:p>
      <w:pPr>
        <w:spacing w:before="0" w:after="180" w:line="264" w:lineRule="auto"/>
        <w:ind w:firstLine="340"/>
        <w:jc w:val="both"/>
      </w:pPr>
      <w:r>
        <w:rPr>
          <w:rFonts w:ascii="Cambria" w:hAnsi="Cambria"/>
          <w:b w:val="0"/>
          <w:i w:val="0"/>
          <w:color w:val="141A21"/>
          <w:sz w:val="22"/>
        </w:rPr>
        <w:t>Sa relation avec le monde des partenaires immobiliers est aussi acerbe quand il dit que l'agent immobilier sert d'abord les intérêts du vendeur alors que le chasseur immobilier et au service de l'acheteur, c'est tellement clair.</w:t>
      </w:r>
    </w:p>
    <w:p>
      <w:pPr>
        <w:spacing w:before="0" w:after="180" w:line="264" w:lineRule="auto"/>
        <w:ind w:firstLine="340"/>
        <w:jc w:val="both"/>
      </w:pPr>
      <w:r>
        <w:rPr>
          <w:rFonts w:ascii="Cambria" w:hAnsi="Cambria"/>
          <w:b w:val="0"/>
          <w:i w:val="0"/>
          <w:color w:val="141A21"/>
          <w:sz w:val="22"/>
        </w:rPr>
        <w:t>Ses 4 critères pour répondre à l'achat sont du BSP (bon sens paysan comme le dit souvent Didier C.) :</w:t>
      </w:r>
    </w:p>
    <w:p>
      <w:pPr>
        <w:spacing w:before="0" w:after="180" w:line="264" w:lineRule="auto"/>
        <w:ind w:firstLine="340"/>
        <w:jc w:val="both"/>
      </w:pPr>
      <w:r>
        <w:rPr>
          <w:rFonts w:ascii="Cambria" w:hAnsi="Cambria"/>
          <w:b w:val="0"/>
          <w:i w:val="0"/>
          <w:color w:val="141A21"/>
          <w:sz w:val="22"/>
        </w:rPr>
        <w:t>La position du bien dans la ville doit être attractive ;</w:t>
      </w:r>
    </w:p>
    <w:p>
      <w:pPr>
        <w:spacing w:before="0" w:after="180" w:line="264" w:lineRule="auto"/>
        <w:ind w:firstLine="340"/>
        <w:jc w:val="both"/>
      </w:pPr>
      <w:r>
        <w:rPr>
          <w:rFonts w:ascii="Cambria" w:hAnsi="Cambria"/>
          <w:b w:val="0"/>
          <w:i w:val="0"/>
          <w:color w:val="141A21"/>
          <w:sz w:val="22"/>
        </w:rPr>
        <w:t>Le bien doit être vétuste mais avec une structure saine. Il s'agit de vérifier que la structure du bâtiment est, donc éviter l'humidité, les moisissures, les fissures ou les affaissements ;</w:t>
      </w:r>
    </w:p>
    <w:p>
      <w:pPr>
        <w:spacing w:before="0" w:after="180" w:line="264" w:lineRule="auto"/>
        <w:ind w:firstLine="340"/>
        <w:jc w:val="both"/>
      </w:pPr>
      <w:r>
        <w:rPr>
          <w:rFonts w:ascii="Cambria" w:hAnsi="Cambria"/>
          <w:b w:val="0"/>
          <w:i w:val="0"/>
          <w:color w:val="141A21"/>
          <w:sz w:val="22"/>
        </w:rPr>
        <w:t>Son plan doit être optimisé ou doit potentiellement pouvoir le devenir (attention aux murs porteurs !) ;</w:t>
      </w:r>
    </w:p>
    <w:p>
      <w:pPr>
        <w:spacing w:before="0" w:after="180" w:line="264" w:lineRule="auto"/>
        <w:ind w:firstLine="340"/>
        <w:jc w:val="both"/>
      </w:pPr>
      <w:r>
        <w:rPr>
          <w:rFonts w:ascii="Cambria" w:hAnsi="Cambria"/>
          <w:b w:val="0"/>
          <w:i w:val="0"/>
          <w:color w:val="141A21"/>
          <w:sz w:val="22"/>
        </w:rPr>
        <w:t>Les arrivées d'eaux/de fluides doivent permettre la mise en œuvre du plan souhaité.</w:t>
      </w:r>
    </w:p>
    <w:p>
      <w:pPr>
        <w:spacing w:before="0" w:after="180" w:line="264" w:lineRule="auto"/>
        <w:ind w:firstLine="340"/>
        <w:jc w:val="both"/>
      </w:pPr>
      <w:r>
        <w:rPr>
          <w:rFonts w:ascii="Cambria" w:hAnsi="Cambria"/>
          <w:b w:val="0"/>
          <w:i w:val="0"/>
          <w:color w:val="141A21"/>
          <w:sz w:val="22"/>
        </w:rPr>
        <w:t>Investir dans les petites villes n'est pas nécessairement une mauvaise affaire. L'intérêt est d'acheter dans un quartier populaire et d'y créer un appartement qui se démarque des autres par une qualité supérieure de standing.</w:t>
      </w:r>
    </w:p>
    <w:p>
      <w:pPr>
        <w:spacing w:before="0" w:after="180" w:line="264" w:lineRule="auto"/>
        <w:ind w:firstLine="340"/>
        <w:jc w:val="both"/>
      </w:pPr>
      <w:r>
        <w:rPr>
          <w:rFonts w:ascii="Cambria" w:hAnsi="Cambria"/>
          <w:b w:val="0"/>
          <w:i w:val="0"/>
          <w:color w:val="141A21"/>
          <w:sz w:val="22"/>
        </w:rPr>
        <w:t>Il recommande l'acquisition dans l'ancien plutôt qu'en neuf et la location meublée par rapport au nu, la différence entre le montant du loyer en nu ou en meublé est de 10 à 20%. Ce raisonnement je le partage ainsi qu'avec mon ami François LE BRIS qui a écrit un ouvrage intitulé "le guide pratique de l'investisseur en location meublée".</w:t>
      </w:r>
    </w:p>
    <w:p>
      <w:pPr>
        <w:spacing w:before="0" w:after="180" w:line="264" w:lineRule="auto"/>
        <w:ind w:firstLine="340"/>
        <w:jc w:val="both"/>
      </w:pPr>
      <w:r>
        <w:rPr>
          <w:rFonts w:ascii="Cambria" w:hAnsi="Cambria"/>
          <w:b w:val="0"/>
          <w:i w:val="0"/>
          <w:color w:val="141A21"/>
          <w:sz w:val="22"/>
        </w:rPr>
        <w:t>La rencontre avec le notaire est également bien décrite, ce personnage en charge de la publication des ventes immobilière à la conservation des hypothèques du transfert de la propriété d'un bien immobilier, c'est ce qu'on appelle la publicité foncière. Faites vous un atout de votre notaire, c'est un partenaire très important et fidèle de la constitution de votre patrimoine immobilier. En effet il doit répartir les éléments de l'acquisition qui servent de base au calcul des frais de notaire. Nous avons déjà discuté des acquisitions "acte en mains" mais aussi lorsque vous faites l'acquisition d'un bien d'un montant de 100 000 € et que vous estimé la cuisine aménagée à 2 000 €, le notaire peut ventiler son acte pour avoir une base de 98 000 € taxable.</w:t>
      </w:r>
    </w:p>
    <w:p>
      <w:pPr>
        <w:spacing w:before="0" w:after="180" w:line="264" w:lineRule="auto"/>
        <w:ind w:firstLine="340"/>
        <w:jc w:val="both"/>
      </w:pPr>
      <w:r>
        <w:rPr>
          <w:rFonts w:ascii="Cambria" w:hAnsi="Cambria"/>
          <w:b w:val="0"/>
          <w:i w:val="0"/>
          <w:color w:val="141A21"/>
          <w:sz w:val="22"/>
        </w:rPr>
        <w:t>Son raisonnement sur le financement des biens est instructif et pourquoi se priver du différé de remboursement possible sur 3 ans le temps que vous réalisé les travaux et trouviez un locataire. Cette pratique vous permet de vous constituer une trésorerie pour les moments de vacances locatives ou pour réinvestir dans un nouveau projet. Ses 3 conditions essentielles lors de l'obtention du prêt :</w:t>
      </w:r>
    </w:p>
    <w:p>
      <w:pPr>
        <w:spacing w:before="0" w:after="180" w:line="264" w:lineRule="auto"/>
        <w:ind w:firstLine="340"/>
        <w:jc w:val="both"/>
      </w:pPr>
      <w:r>
        <w:rPr>
          <w:rFonts w:ascii="Cambria" w:hAnsi="Cambria"/>
          <w:b w:val="0"/>
          <w:i w:val="0"/>
          <w:color w:val="141A21"/>
          <w:sz w:val="22"/>
        </w:rPr>
        <w:t>La durée du crédit doit être la plus longue possible, pour générer le plus de cash-flow possible ;</w:t>
      </w:r>
    </w:p>
    <w:p>
      <w:pPr>
        <w:spacing w:before="0" w:after="180" w:line="264" w:lineRule="auto"/>
        <w:ind w:firstLine="340"/>
        <w:jc w:val="both"/>
      </w:pPr>
      <w:r>
        <w:rPr>
          <w:rFonts w:ascii="Cambria" w:hAnsi="Cambria"/>
          <w:b w:val="0"/>
          <w:i w:val="0"/>
          <w:color w:val="141A21"/>
          <w:sz w:val="22"/>
        </w:rPr>
        <w:t>Demander un différé de remboursement afin d'avoir la latitude de financer les travaux ;</w:t>
      </w:r>
    </w:p>
    <w:p>
      <w:pPr>
        <w:spacing w:before="0" w:after="180" w:line="264" w:lineRule="auto"/>
        <w:ind w:firstLine="340"/>
        <w:jc w:val="both"/>
      </w:pPr>
      <w:r>
        <w:rPr>
          <w:rFonts w:ascii="Cambria" w:hAnsi="Cambria"/>
          <w:b w:val="0"/>
          <w:i w:val="0"/>
          <w:color w:val="141A21"/>
          <w:sz w:val="22"/>
        </w:rPr>
        <w:t>Le différé de remboursement dès l'acceptation du crédit avec la possibilité de remboursement anticipé sans frais ;</w:t>
      </w:r>
    </w:p>
    <w:p>
      <w:pPr>
        <w:spacing w:before="0" w:after="180" w:line="264" w:lineRule="auto"/>
        <w:ind w:firstLine="340"/>
        <w:jc w:val="both"/>
      </w:pPr>
      <w:r>
        <w:rPr>
          <w:rFonts w:ascii="Cambria" w:hAnsi="Cambria"/>
          <w:b w:val="0"/>
          <w:i w:val="0"/>
          <w:color w:val="141A21"/>
          <w:sz w:val="22"/>
        </w:rPr>
        <w:t>Sa remarque sur le fait de ne jamais négocier le taux et d'exprimer sa gratitude après l'obtention d'un prêt ne pas oublier de remercier son banquier car il nous a fait plaisir en accordant notre financement donc à nous de leur faire plaisir par une boite de chocolat ou du champagne et cela crée du lien de partenariat, le principe de réciprocité gagnant-gagnant, le savoir vivre et le savoir être ne peuvent pas être négligés dans le business.</w:t>
      </w:r>
    </w:p>
    <w:p>
      <w:pPr>
        <w:spacing w:before="0" w:after="180" w:line="264" w:lineRule="auto"/>
        <w:ind w:firstLine="340"/>
        <w:jc w:val="both"/>
      </w:pPr>
      <w:r>
        <w:rPr>
          <w:rFonts w:ascii="Cambria" w:hAnsi="Cambria"/>
          <w:b w:val="0"/>
          <w:i w:val="0"/>
          <w:color w:val="141A21"/>
          <w:sz w:val="22"/>
        </w:rPr>
        <w:t>Cette philosophie il convient de l'appliquer également avec son entrepreneur de travaux, vous devez avoir confiance en lui et réciproquement il doit savoir qu'il gagnera sa vie avec vous. La confiance est très importante. Mickaël indique qu'il faut qu'une fois la rénovation terminée, l'appartement doit être aussi beau qu'un appartement neuf, si ce n'est plus. Ceci s'acquière par la qualité des matériaux fournis et le savoir faire de l'entreprise du bâtiment. Ne pas hésiter à TOUT refaire de la plomberie à l'électricité et de ce fait votre entrepreneur va bien faire la rénovation pour ne pas être appelé ensuite en dépannage souvent non facturable et il mise également sur cette relation avec vous, investisseur immobilier pour les autre biens à venir. Respecter la règle du paiement en 5 fois 20% plutôt qu'en 2 fois 50%. Ne pas oublier également de prendre une assurance dommage-ouvrage avant le début des travaux en tant que propriétaire car il peut arriver un incident aux autres locataires de l'immeuble pendant les travaux et c'est vous le propriétaire qui serez responsable.</w:t>
      </w:r>
    </w:p>
    <w:p>
      <w:pPr>
        <w:spacing w:before="0" w:after="180" w:line="264" w:lineRule="auto"/>
        <w:ind w:firstLine="340"/>
        <w:jc w:val="both"/>
      </w:pPr>
      <w:r>
        <w:rPr>
          <w:rFonts w:ascii="Cambria" w:hAnsi="Cambria"/>
          <w:b w:val="0"/>
          <w:i w:val="0"/>
          <w:color w:val="141A21"/>
          <w:sz w:val="22"/>
        </w:rPr>
        <w:t>La pratique et son expérience des travaux est palpable :</w:t>
      </w:r>
    </w:p>
    <w:p>
      <w:pPr>
        <w:spacing w:before="0" w:after="180" w:line="264" w:lineRule="auto"/>
        <w:ind w:firstLine="340"/>
        <w:jc w:val="both"/>
      </w:pPr>
      <w:r>
        <w:rPr>
          <w:rFonts w:ascii="Cambria" w:hAnsi="Cambria"/>
          <w:b w:val="0"/>
          <w:i w:val="0"/>
          <w:color w:val="141A21"/>
          <w:sz w:val="22"/>
        </w:rPr>
        <w:t>Renforcer la porte d'entrée par un système de fermeture 3 points et éventuellement une barre coûtera moins cher qu'une porte blindée ;</w:t>
      </w:r>
    </w:p>
    <w:p>
      <w:pPr>
        <w:spacing w:before="0" w:after="180" w:line="264" w:lineRule="auto"/>
        <w:ind w:firstLine="340"/>
        <w:jc w:val="both"/>
      </w:pPr>
      <w:r>
        <w:rPr>
          <w:rFonts w:ascii="Cambria" w:hAnsi="Cambria"/>
          <w:b w:val="0"/>
          <w:i w:val="0"/>
          <w:color w:val="141A21"/>
          <w:sz w:val="22"/>
        </w:rPr>
        <w:t>Dans les petites surfaces privilégier les portes coulissantes, l'appartement parait plus grand et améliore la circulation ;</w:t>
      </w:r>
    </w:p>
    <w:p>
      <w:pPr>
        <w:spacing w:before="0" w:after="180" w:line="264" w:lineRule="auto"/>
        <w:ind w:firstLine="340"/>
        <w:jc w:val="both"/>
      </w:pPr>
      <w:r>
        <w:rPr>
          <w:rFonts w:ascii="Cambria" w:hAnsi="Cambria"/>
          <w:b w:val="0"/>
          <w:i w:val="0"/>
          <w:color w:val="141A21"/>
          <w:sz w:val="22"/>
        </w:rPr>
        <w:t>Penser aux meubles intégrés, placards, bibliothèques, table de nuit, bureaux, meubles télé pour permettre un aménagement rapide du locataire et je rajouterai, dans le cas d'immeuble de rapport, éviter les coups dus au transport de mobilier dan s les parties communes ;</w:t>
      </w:r>
    </w:p>
    <w:p>
      <w:pPr>
        <w:spacing w:before="0" w:after="180" w:line="264" w:lineRule="auto"/>
        <w:ind w:firstLine="340"/>
        <w:jc w:val="both"/>
      </w:pPr>
      <w:r>
        <w:rPr>
          <w:rFonts w:ascii="Cambria" w:hAnsi="Cambria"/>
          <w:b w:val="0"/>
          <w:i w:val="0"/>
          <w:color w:val="141A21"/>
          <w:sz w:val="22"/>
        </w:rPr>
        <w:t>Poser du fonds plafond afin d'encastrer les fils électriques, rendre invincibles les fissures et incruster des spots lumineux ;</w:t>
      </w:r>
    </w:p>
    <w:p>
      <w:pPr>
        <w:spacing w:before="0" w:after="180" w:line="264" w:lineRule="auto"/>
        <w:ind w:firstLine="340"/>
        <w:jc w:val="both"/>
      </w:pPr>
      <w:r>
        <w:rPr>
          <w:rFonts w:ascii="Cambria" w:hAnsi="Cambria"/>
          <w:b w:val="0"/>
          <w:i w:val="0"/>
          <w:color w:val="141A21"/>
          <w:sz w:val="22"/>
        </w:rPr>
        <w:t>Installer du parquet flottant et en rez-de-chaussée éviter l'erreur de débutant et faite poser du carrelage afin d'éviter les remontée d'humidité qui ferrait gonfler le parquet ;</w:t>
      </w:r>
    </w:p>
    <w:p>
      <w:pPr>
        <w:spacing w:before="0" w:after="180" w:line="264" w:lineRule="auto"/>
        <w:ind w:firstLine="340"/>
        <w:jc w:val="both"/>
      </w:pPr>
      <w:r>
        <w:rPr>
          <w:rFonts w:ascii="Cambria" w:hAnsi="Cambria"/>
          <w:b w:val="0"/>
          <w:i w:val="0"/>
          <w:color w:val="141A21"/>
          <w:sz w:val="22"/>
        </w:rPr>
        <w:t>Préférer la douche traditionnelle plutôt qu'italienne (trop couteuse en entretien) plutôt qu'une baignoire et penser surtout à installer une VMC électrique branchée sur système automatique dès l'entrée d'une personne, il faut protéger votre investissement de l'humidité. Pensez à laisser l'accès au robinet de fermeture de l'eau accessible même s'il est visible le reflexe du locataire en cas de fuite sera d'arrêter l'eau et donc de limiter les dégâts ;</w:t>
      </w:r>
    </w:p>
    <w:p>
      <w:pPr>
        <w:spacing w:before="0" w:after="180" w:line="264" w:lineRule="auto"/>
        <w:ind w:firstLine="340"/>
        <w:jc w:val="both"/>
      </w:pPr>
      <w:r>
        <w:rPr>
          <w:rFonts w:ascii="Cambria" w:hAnsi="Cambria"/>
          <w:b w:val="0"/>
          <w:i w:val="0"/>
          <w:color w:val="141A21"/>
          <w:sz w:val="22"/>
        </w:rPr>
        <w:t>Supprimer la pièce de la cuisine pour en faire éventuellement une chambre et Créer une cuisine ouverte dans le salon car vous rajouter une chambre qui permettra d'augmenter le loyer alors que le grand salon sera transformer en une pièce conviviale ;</w:t>
      </w:r>
    </w:p>
    <w:p>
      <w:pPr>
        <w:spacing w:before="0" w:after="180" w:line="264" w:lineRule="auto"/>
        <w:ind w:firstLine="340"/>
        <w:jc w:val="both"/>
      </w:pPr>
      <w:r>
        <w:rPr>
          <w:rFonts w:ascii="Cambria" w:hAnsi="Cambria"/>
          <w:b w:val="0"/>
          <w:i w:val="0"/>
          <w:color w:val="141A21"/>
          <w:sz w:val="22"/>
        </w:rPr>
        <w:t>Concernant le chauffage, privilégier le tout électrique mais faite installer du matériel performant et économique. Eviter le chauffage individuel au gaz car vous ne pourrez être sur que le locataire effectue convenablement l'entretien et lorsque le système ne fonctionnera plus il vous demandera de le changer ;</w:t>
      </w:r>
    </w:p>
    <w:p>
      <w:pPr>
        <w:spacing w:before="0" w:after="180" w:line="264" w:lineRule="auto"/>
        <w:ind w:firstLine="340"/>
        <w:jc w:val="both"/>
      </w:pPr>
      <w:r>
        <w:rPr>
          <w:rFonts w:ascii="Cambria" w:hAnsi="Cambria"/>
          <w:b w:val="0"/>
          <w:i w:val="0"/>
          <w:color w:val="141A21"/>
          <w:sz w:val="22"/>
        </w:rPr>
        <w:t>La décoration doit provoquer aux locataires lors de la première visite un "effet waouh !". Les murs doivent être peints en blanc pour favoriser la luminosité sauf le mur derrière le canapé (de préférence convertible) pour créer un espace détente salon. Eviter les murs jaunes, verts ou rouge qui ne plaisent pas à tout le monde ;</w:t>
      </w:r>
    </w:p>
    <w:p>
      <w:pPr>
        <w:spacing w:before="0" w:after="180" w:line="264" w:lineRule="auto"/>
        <w:ind w:firstLine="340"/>
        <w:jc w:val="both"/>
      </w:pPr>
      <w:r>
        <w:rPr>
          <w:rFonts w:ascii="Cambria" w:hAnsi="Cambria"/>
          <w:b w:val="0"/>
          <w:i w:val="0"/>
          <w:color w:val="141A21"/>
          <w:sz w:val="22"/>
        </w:rPr>
        <w:t>Soigner l'éclairage, une applique murale au-dessus du canapé et des spots pour compartimenter et mettre en valeur chaque espace. Ne n'négliger pas l'éclairage de la cuisine ouverte ;</w:t>
      </w:r>
    </w:p>
    <w:p>
      <w:pPr>
        <w:spacing w:before="0" w:after="180" w:line="264" w:lineRule="auto"/>
        <w:ind w:firstLine="340"/>
        <w:jc w:val="both"/>
      </w:pPr>
      <w:r>
        <w:rPr>
          <w:rFonts w:ascii="Cambria" w:hAnsi="Cambria"/>
          <w:b w:val="0"/>
          <w:i w:val="0"/>
          <w:color w:val="141A21"/>
          <w:sz w:val="22"/>
        </w:rPr>
        <w:t>Le mobilier doit comprendre :</w:t>
      </w:r>
    </w:p>
    <w:p>
      <w:pPr>
        <w:spacing w:before="0" w:after="180" w:line="264" w:lineRule="auto"/>
        <w:ind w:firstLine="340"/>
        <w:jc w:val="both"/>
      </w:pPr>
      <w:r>
        <w:rPr>
          <w:rFonts w:ascii="Cambria" w:hAnsi="Cambria"/>
          <w:b w:val="0"/>
          <w:i w:val="0"/>
          <w:color w:val="141A21"/>
          <w:sz w:val="22"/>
        </w:rPr>
        <w:t>Un canapé de couleur vive et de préférence convertible soit pour le lit dans un studio soit pour recevoir des amis ;</w:t>
      </w:r>
    </w:p>
    <w:p>
      <w:pPr>
        <w:spacing w:before="0" w:after="180" w:line="264" w:lineRule="auto"/>
        <w:ind w:firstLine="340"/>
        <w:jc w:val="both"/>
      </w:pPr>
      <w:r>
        <w:rPr>
          <w:rFonts w:ascii="Cambria" w:hAnsi="Cambria"/>
          <w:b w:val="0"/>
          <w:i w:val="0"/>
          <w:color w:val="141A21"/>
          <w:sz w:val="22"/>
        </w:rPr>
        <w:t>Le tapis doit être de gout et créer le coup de cœur ;</w:t>
      </w:r>
    </w:p>
    <w:p>
      <w:pPr>
        <w:spacing w:before="0" w:after="180" w:line="264" w:lineRule="auto"/>
        <w:ind w:firstLine="340"/>
        <w:jc w:val="both"/>
      </w:pPr>
      <w:r>
        <w:rPr>
          <w:rFonts w:ascii="Cambria" w:hAnsi="Cambria"/>
          <w:b w:val="0"/>
          <w:i w:val="0"/>
          <w:color w:val="141A21"/>
          <w:sz w:val="22"/>
        </w:rPr>
        <w:t>La table basse pour le coté cosy ;</w:t>
      </w:r>
    </w:p>
    <w:p>
      <w:pPr>
        <w:spacing w:before="0" w:after="180" w:line="264" w:lineRule="auto"/>
        <w:ind w:firstLine="340"/>
        <w:jc w:val="both"/>
      </w:pPr>
      <w:r>
        <w:rPr>
          <w:rFonts w:ascii="Cambria" w:hAnsi="Cambria"/>
          <w:b w:val="0"/>
          <w:i w:val="0"/>
          <w:color w:val="141A21"/>
          <w:sz w:val="22"/>
        </w:rPr>
        <w:t>Le sommier ne doit pas être à latte c'est trop fragile et avoir des pieds ;</w:t>
      </w:r>
    </w:p>
    <w:p>
      <w:pPr>
        <w:spacing w:before="0" w:after="180" w:line="264" w:lineRule="auto"/>
        <w:ind w:firstLine="340"/>
        <w:jc w:val="both"/>
      </w:pPr>
      <w:r>
        <w:rPr>
          <w:rFonts w:ascii="Cambria" w:hAnsi="Cambria"/>
          <w:b w:val="0"/>
          <w:i w:val="0"/>
          <w:color w:val="141A21"/>
          <w:sz w:val="22"/>
        </w:rPr>
        <w:t>Un bon matelas ;</w:t>
      </w:r>
    </w:p>
    <w:p>
      <w:pPr>
        <w:spacing w:before="0" w:after="180" w:line="264" w:lineRule="auto"/>
        <w:ind w:firstLine="340"/>
        <w:jc w:val="both"/>
      </w:pPr>
      <w:r>
        <w:rPr>
          <w:rFonts w:ascii="Cambria" w:hAnsi="Cambria"/>
          <w:b w:val="0"/>
          <w:i w:val="0"/>
          <w:color w:val="141A21"/>
          <w:sz w:val="22"/>
        </w:rPr>
        <w:t>Tringle pour des rideaux blanc et des doubles-rideaux s'il n'y a pas de volets ;</w:t>
      </w:r>
    </w:p>
    <w:p>
      <w:pPr>
        <w:spacing w:before="0" w:after="180" w:line="264" w:lineRule="auto"/>
        <w:ind w:firstLine="340"/>
        <w:jc w:val="both"/>
      </w:pPr>
      <w:r>
        <w:rPr>
          <w:rFonts w:ascii="Cambria" w:hAnsi="Cambria"/>
          <w:b w:val="0"/>
          <w:i w:val="0"/>
          <w:color w:val="141A21"/>
          <w:sz w:val="22"/>
        </w:rPr>
        <w:t>Quelques cadres fixés aux murs qui permettront au locataire d'y apposer SES photos mais évitera qu'il perce les murs ;</w:t>
      </w:r>
    </w:p>
    <w:p>
      <w:pPr>
        <w:spacing w:before="0" w:after="180" w:line="264" w:lineRule="auto"/>
        <w:ind w:firstLine="340"/>
        <w:jc w:val="both"/>
      </w:pPr>
      <w:r>
        <w:rPr>
          <w:rFonts w:ascii="Cambria" w:hAnsi="Cambria"/>
          <w:b w:val="0"/>
          <w:i w:val="0"/>
          <w:color w:val="141A21"/>
          <w:sz w:val="22"/>
        </w:rPr>
        <w:t>Une table et des chaises suffisantes ;</w:t>
      </w:r>
    </w:p>
    <w:p>
      <w:pPr>
        <w:spacing w:before="0" w:after="180" w:line="264" w:lineRule="auto"/>
        <w:ind w:firstLine="340"/>
        <w:jc w:val="both"/>
      </w:pPr>
      <w:r>
        <w:rPr>
          <w:rFonts w:ascii="Cambria" w:hAnsi="Cambria"/>
          <w:b w:val="0"/>
          <w:i w:val="0"/>
          <w:color w:val="141A21"/>
          <w:sz w:val="22"/>
        </w:rPr>
        <w:t>Une télé écran plat fixée au mur avec un bras orientable pour gagner de l'espace ;</w:t>
      </w:r>
    </w:p>
    <w:p>
      <w:pPr>
        <w:spacing w:before="0" w:after="180" w:line="264" w:lineRule="auto"/>
        <w:ind w:firstLine="340"/>
        <w:jc w:val="both"/>
      </w:pPr>
      <w:r>
        <w:rPr>
          <w:rFonts w:ascii="Cambria" w:hAnsi="Cambria"/>
          <w:b w:val="0"/>
          <w:i w:val="0"/>
          <w:color w:val="141A21"/>
          <w:sz w:val="22"/>
        </w:rPr>
        <w:t>Un lave-linge et un sèche-linge à installer dans la salle de bains ;</w:t>
      </w:r>
    </w:p>
    <w:p>
      <w:pPr>
        <w:spacing w:before="0" w:after="180" w:line="264" w:lineRule="auto"/>
        <w:ind w:firstLine="340"/>
        <w:jc w:val="both"/>
      </w:pPr>
      <w:r>
        <w:rPr>
          <w:rFonts w:ascii="Cambria" w:hAnsi="Cambria"/>
          <w:b w:val="0"/>
          <w:i w:val="0"/>
          <w:color w:val="141A21"/>
          <w:sz w:val="22"/>
        </w:rPr>
        <w:t>Un four à micro-ondes, des plaques vitrocéramiques et si vous avez de la place un four traditionnel ;</w:t>
      </w:r>
    </w:p>
    <w:p>
      <w:pPr>
        <w:spacing w:before="0" w:after="180" w:line="264" w:lineRule="auto"/>
        <w:ind w:firstLine="340"/>
        <w:jc w:val="both"/>
      </w:pPr>
      <w:r>
        <w:rPr>
          <w:rFonts w:ascii="Cambria" w:hAnsi="Cambria"/>
          <w:b w:val="0"/>
          <w:i w:val="0"/>
          <w:color w:val="141A21"/>
          <w:sz w:val="22"/>
        </w:rPr>
        <w:t>Les travaux et la décoration doivent représenter 20% de l'investissement mais c'est 90% de ce qui se voit en premier.</w:t>
      </w:r>
    </w:p>
    <w:p>
      <w:pPr>
        <w:spacing w:before="0" w:after="180" w:line="264" w:lineRule="auto"/>
        <w:ind w:firstLine="340"/>
        <w:jc w:val="both"/>
      </w:pPr>
      <w:r>
        <w:rPr>
          <w:rFonts w:ascii="Cambria" w:hAnsi="Cambria"/>
          <w:b w:val="0"/>
          <w:i w:val="0"/>
          <w:color w:val="141A21"/>
          <w:sz w:val="22"/>
        </w:rPr>
        <w:t>Pour l'exploitation ensuite sous-traiter au maximum. Bien sur cela à un cout mais c'est le cout de votre tranquillité. Prenez une assurance GLI (garantie loyers impayés), faites faire des photos par un professionnel,</w:t>
      </w:r>
    </w:p>
    <w:p>
      <w:pPr>
        <w:spacing w:before="0" w:after="180" w:line="264" w:lineRule="auto"/>
        <w:ind w:firstLine="340"/>
        <w:jc w:val="both"/>
      </w:pPr>
      <w:r>
        <w:rPr>
          <w:rFonts w:ascii="Cambria" w:hAnsi="Cambria"/>
          <w:b w:val="0"/>
          <w:i w:val="0"/>
          <w:color w:val="141A21"/>
          <w:sz w:val="22"/>
        </w:rPr>
        <w:t>Il convient de retenir que d'acheter le plus tôt possible dès 20 ans, est la meilleure des stratégies car vous serez toujours plus riche que d'avoir acheté une bonne affaire à 40 ans.</w:t>
      </w:r>
    </w:p>
    <w:p>
      <w:pPr>
        <w:pStyle w:val="Heading3"/>
        <w:spacing w:before="400" w:after="100" w:line="276" w:lineRule="auto"/>
      </w:pPr>
      <w:r>
        <w:rPr>
          <w:rFonts w:ascii="Calibri" w:hAnsi="Calibri"/>
          <w:b/>
          <w:i w:val="0"/>
          <w:color w:val="141A21"/>
          <w:sz w:val="27"/>
        </w:rPr>
        <w:t>Les règles d'or et le choix du statut de l'investisseur</w:t>
      </w:r>
    </w:p>
    <w:p>
      <w:pPr>
        <w:spacing w:before="0" w:after="180" w:line="264" w:lineRule="auto"/>
        <w:jc w:val="both"/>
      </w:pPr>
      <w:r>
        <w:rPr>
          <w:rFonts w:ascii="Cambria" w:hAnsi="Cambria"/>
          <w:b w:val="0"/>
          <w:i w:val="0"/>
          <w:color w:val="141A21"/>
          <w:sz w:val="22"/>
        </w:rPr>
        <w:t>Pour bien réussir son investissement immobilier il faut à part le fait de respecter les 3 règles principales de l’investissement immobilier :</w:t>
      </w:r>
    </w:p>
    <w:p>
      <w:pPr>
        <w:spacing w:before="0" w:after="180" w:line="264" w:lineRule="auto"/>
        <w:ind w:firstLine="340"/>
        <w:jc w:val="both"/>
      </w:pPr>
      <w:r>
        <w:rPr>
          <w:rFonts w:ascii="Cambria" w:hAnsi="Cambria"/>
          <w:b w:val="0"/>
          <w:i w:val="0"/>
          <w:color w:val="141A21"/>
          <w:sz w:val="22"/>
        </w:rPr>
        <w:t>1ère règle = l’emplacement</w:t>
      </w:r>
    </w:p>
    <w:p>
      <w:pPr>
        <w:spacing w:before="0" w:after="180" w:line="264" w:lineRule="auto"/>
        <w:ind w:firstLine="340"/>
        <w:jc w:val="both"/>
      </w:pPr>
      <w:r>
        <w:rPr>
          <w:rFonts w:ascii="Cambria" w:hAnsi="Cambria"/>
          <w:b w:val="0"/>
          <w:i w:val="0"/>
          <w:color w:val="141A21"/>
          <w:sz w:val="22"/>
        </w:rPr>
        <w:t>2ème règle =surtout l’emplacement</w:t>
      </w:r>
    </w:p>
    <w:p>
      <w:pPr>
        <w:spacing w:before="0" w:after="180" w:line="264" w:lineRule="auto"/>
        <w:ind w:firstLine="340"/>
        <w:jc w:val="both"/>
      </w:pPr>
      <w:r>
        <w:rPr>
          <w:rFonts w:ascii="Cambria" w:hAnsi="Cambria"/>
          <w:b w:val="0"/>
          <w:i w:val="0"/>
          <w:color w:val="141A21"/>
          <w:sz w:val="22"/>
        </w:rPr>
        <w:t>3ème règle = toujours l’emplacement</w:t>
      </w:r>
    </w:p>
    <w:p>
      <w:pPr>
        <w:spacing w:before="0" w:after="180" w:line="264" w:lineRule="auto"/>
        <w:ind w:firstLine="340"/>
        <w:jc w:val="both"/>
      </w:pPr>
      <w:r>
        <w:rPr>
          <w:rFonts w:ascii="Cambria" w:hAnsi="Cambria"/>
          <w:b w:val="0"/>
          <w:i w:val="0"/>
          <w:color w:val="141A21"/>
          <w:sz w:val="22"/>
        </w:rPr>
        <w:t>Il faut aussi bien choisir « l’enveloppe juridique » de notre statut d’investisseur, en gros j’achète ce bien immobilier en nom propre, seul ou avec mon conjoint, avec des copains, ou en société.</w:t>
      </w:r>
    </w:p>
    <w:p>
      <w:pPr>
        <w:spacing w:before="0" w:after="180" w:line="264" w:lineRule="auto"/>
        <w:ind w:firstLine="340"/>
        <w:jc w:val="both"/>
      </w:pPr>
      <w:r>
        <w:rPr>
          <w:rFonts w:ascii="Cambria" w:hAnsi="Cambria"/>
          <w:b w:val="0"/>
          <w:i w:val="0"/>
          <w:color w:val="141A21"/>
          <w:sz w:val="22"/>
        </w:rPr>
        <w:t>Je vais vous faire part des principaux statuts qui vous permettront d’investir dans des biens immobiliers.</w:t>
      </w:r>
    </w:p>
    <w:p>
      <w:pPr>
        <w:spacing w:before="0" w:after="180" w:line="264" w:lineRule="auto"/>
        <w:ind w:firstLine="340"/>
        <w:jc w:val="both"/>
      </w:pPr>
      <w:r>
        <w:rPr>
          <w:rFonts w:ascii="Cambria" w:hAnsi="Cambria"/>
          <w:b w:val="0"/>
          <w:i w:val="0"/>
          <w:color w:val="141A21"/>
          <w:sz w:val="22"/>
        </w:rPr>
        <w:t>Comme toujours il faut y voir l’intérêt particulier de l’investisseur en analysant ses objectifs à court, moyen et long terme. Comme je le rappelle souvent dans mes conférences, le COURT TERME c’est 10 ans, le MOYEN TERME c’est 20 ans et le LONG TERME c’est +30ans.</w:t>
      </w:r>
    </w:p>
    <w:p>
      <w:pPr>
        <w:spacing w:before="0" w:after="180" w:line="264" w:lineRule="auto"/>
        <w:ind w:firstLine="340"/>
        <w:jc w:val="both"/>
      </w:pPr>
      <w:r>
        <w:rPr>
          <w:rFonts w:ascii="Cambria" w:hAnsi="Cambria"/>
          <w:b w:val="0"/>
          <w:i w:val="0"/>
          <w:color w:val="141A21"/>
          <w:sz w:val="22"/>
        </w:rPr>
        <w:t>C’est toujours compliqué de savoir ce que nous voulons dans 30 ans et pourtant je mentionne toujours à mes clients que cette décision est la base de ma réflexion technique pour les assister dans le choix de montage juridique et économique le mieux adapté à leur demande.</w:t>
      </w:r>
    </w:p>
    <w:p>
      <w:pPr>
        <w:spacing w:before="0" w:after="180" w:line="264" w:lineRule="auto"/>
        <w:ind w:firstLine="340"/>
        <w:jc w:val="both"/>
      </w:pPr>
      <w:r>
        <w:rPr>
          <w:rFonts w:ascii="Cambria" w:hAnsi="Cambria"/>
          <w:b w:val="0"/>
          <w:i w:val="0"/>
          <w:color w:val="141A21"/>
          <w:sz w:val="22"/>
        </w:rPr>
        <w:t>Typiquement c’est dans cette situation que vous devez vous entourer des conseils les mieux adapter à vos demandes. Je rencontre souvent des clients qui me disent qu’ils ont suivi leur notaire ou avocat, voir leur expert-comptable dans leur conseil et ont créé telle ou telle structure qui ne semble pas les satisfaire. Avant toute chose il ne faut jamais dénigrer le concepteur d’un montage « bancale » car on ne sait plus vraiment quelles sont les informations qu’il a reçues à l’époque pour réaliser ce montage. Néanmoins j’aime à rappeler que tous les professionnels ne sont pas excellents dans tous les domaines, certains avocats sont plus compétents dans les divorce qu’en droit des sociétés, que des notaires ont plus d’appétences dans le droit de la famille que dans l’immobilier et que des experts-comptables pratiquent plus la fiscalité agricole qu’immobilière.</w:t>
      </w:r>
    </w:p>
    <w:p>
      <w:pPr>
        <w:spacing w:before="0" w:after="180" w:line="264" w:lineRule="auto"/>
        <w:ind w:firstLine="340"/>
        <w:jc w:val="both"/>
      </w:pPr>
      <w:r>
        <w:rPr>
          <w:rFonts w:ascii="Cambria" w:hAnsi="Cambria"/>
          <w:b w:val="0"/>
          <w:i w:val="0"/>
          <w:color w:val="141A21"/>
          <w:sz w:val="22"/>
        </w:rPr>
        <w:t>Mes années passées dans la compta m’ont permis de rencontrer des « hommes du chiffre » aimant la fiscalité immobilière et je me permets de les prendre en référence dans les explications qui suivent.</w:t>
      </w:r>
    </w:p>
    <w:p>
      <w:pPr>
        <w:spacing w:before="0" w:after="180" w:line="264" w:lineRule="auto"/>
        <w:ind w:firstLine="340"/>
        <w:jc w:val="both"/>
      </w:pPr>
      <w:r>
        <w:rPr>
          <w:rFonts w:ascii="Cambria" w:hAnsi="Cambria"/>
          <w:b w:val="0"/>
          <w:i w:val="0"/>
          <w:color w:val="141A21"/>
          <w:sz w:val="22"/>
        </w:rPr>
        <w:t>Régime foncier (La location d'appartements nue / Location de garages / Locaux commerciaux</w:t>
      </w:r>
    </w:p>
    <w:p>
      <w:pPr>
        <w:spacing w:before="0" w:after="180" w:line="264" w:lineRule="auto"/>
        <w:ind w:firstLine="340"/>
        <w:jc w:val="both"/>
      </w:pPr>
      <w:r>
        <w:rPr>
          <w:rFonts w:ascii="Cambria" w:hAnsi="Cambria"/>
          <w:b w:val="0"/>
          <w:i w:val="0"/>
          <w:color w:val="141A21"/>
          <w:sz w:val="22"/>
        </w:rPr>
        <w:t>Foncier régime réel / micro foncier)</w:t>
      </w:r>
    </w:p>
    <w:p>
      <w:r>
        <w:br w:type="page"/>
      </w:r>
    </w:p>
    <w:p>
      <w:pPr>
        <w:pStyle w:val="Heading2"/>
        <w:spacing w:before="240" w:after="200" w:line="276" w:lineRule="auto"/>
      </w:pPr>
      <w:r>
        <w:rPr>
          <w:rFonts w:ascii="Calibri" w:hAnsi="Calibri"/>
          <w:b/>
          <w:i w:val="0"/>
          <w:color w:val="B05A3C"/>
          <w:sz w:val="36"/>
        </w:rPr>
        <w:t>Chapitre 7 — La location meublée (LMNP)</w:t>
      </w:r>
    </w:p>
    <w:p>
      <w:pPr>
        <w:spacing w:before="0" w:after="180" w:line="264" w:lineRule="auto"/>
        <w:jc w:val="both"/>
      </w:pPr>
      <w:r>
        <w:rPr>
          <w:rFonts w:ascii="Cambria" w:hAnsi="Cambria"/>
          <w:b w:val="0"/>
          <w:i w:val="0"/>
          <w:color w:val="141A21"/>
          <w:sz w:val="22"/>
        </w:rPr>
        <w:t>LMNP (La location d'appartements meublés de longue et courte durée) :</w:t>
      </w:r>
    </w:p>
    <w:p>
      <w:pPr>
        <w:pStyle w:val="Heading3"/>
        <w:spacing w:before="400" w:after="100" w:line="276" w:lineRule="auto"/>
      </w:pPr>
      <w:r>
        <w:rPr>
          <w:rFonts w:ascii="Calibri" w:hAnsi="Calibri"/>
          <w:b/>
          <w:i w:val="0"/>
          <w:color w:val="141A21"/>
          <w:sz w:val="27"/>
        </w:rPr>
        <w:t>Les atouts du statut et les amortissements</w:t>
      </w:r>
    </w:p>
    <w:p>
      <w:pPr>
        <w:spacing w:before="0" w:after="180" w:line="264" w:lineRule="auto"/>
        <w:jc w:val="both"/>
      </w:pPr>
      <w:r>
        <w:rPr>
          <w:rFonts w:ascii="Cambria" w:hAnsi="Cambria"/>
          <w:b w:val="0"/>
          <w:i w:val="0"/>
          <w:color w:val="141A21"/>
          <w:sz w:val="22"/>
        </w:rPr>
        <w:t>La location meublée « professionnelle » ou « non professionnelle » reste encore à ce jour un montage économique et fiscal intéressant pour plusieurs contribuables. J’ai eu la chance de rencontrer à plusieurs reprises un expert-comptable très spécialisé dans ce montage et aimant cela à tel point qu’il a rédigé un ouvrage sur le statut de loueur en meublé. Mes rencontres avec François LE BRIS ont été tout le temps constructives car nous réfléchissions sur les différents montages juridiques, lui plus inspiré par le statut de LMNP et moi sur des montages en sociétés.</w:t>
      </w:r>
    </w:p>
    <w:p>
      <w:pPr>
        <w:spacing w:before="0" w:after="180" w:line="264" w:lineRule="auto"/>
        <w:ind w:firstLine="340"/>
        <w:jc w:val="both"/>
      </w:pPr>
      <w:r>
        <w:rPr>
          <w:rFonts w:ascii="Cambria" w:hAnsi="Cambria"/>
          <w:b w:val="0"/>
          <w:i w:val="0"/>
          <w:color w:val="141A21"/>
          <w:sz w:val="22"/>
        </w:rPr>
        <w:t>Par contre nous arrivions à nous mettre d’accord sur le montage le plus pertinent pour le client. Je me permets donc de reprendre quelques argumentaires de François et référence à son ouvrage, dans la partie qui suit.</w:t>
      </w:r>
    </w:p>
    <w:p>
      <w:pPr>
        <w:spacing w:before="0" w:after="180" w:line="264" w:lineRule="auto"/>
        <w:ind w:firstLine="340"/>
        <w:jc w:val="both"/>
      </w:pPr>
      <w:r>
        <w:rPr>
          <w:rFonts w:ascii="Cambria" w:hAnsi="Cambria"/>
          <w:b w:val="0"/>
          <w:i w:val="0"/>
          <w:color w:val="141A21"/>
          <w:sz w:val="22"/>
        </w:rPr>
        <w:t>Le statut de loueur en meublé présente de nombreux atouts, il permet de dégager un revenu fiscal qui sera en général inferieur à ce que vous devriez déclarer si vous louiez « en nu », c'est-à-dire sans rien à l’intérieur de l’habitation, car vous allez pouvoir déduire des amortissements chaque année. En effet lors de l’acquisition de votre bien immobilier il va être constaté à l’actif de votre patrimoine la valeur du bien. Cette valeur va être découpée en petites parties de charge que vous déduirez chaque année c’est ce qu’on appelle « les amortissements », calculé théoriquement sur la durée d’utilisation du bien. Bon d’accord je prends un exemple :</w:t>
      </w:r>
    </w:p>
    <w:p>
      <w:pPr>
        <w:spacing w:before="0" w:after="180" w:line="264" w:lineRule="auto"/>
        <w:ind w:firstLine="340"/>
        <w:jc w:val="both"/>
      </w:pPr>
      <w:r>
        <w:rPr>
          <w:rFonts w:ascii="Cambria" w:hAnsi="Cambria"/>
          <w:b w:val="0"/>
          <w:i w:val="0"/>
          <w:color w:val="141A21"/>
          <w:sz w:val="22"/>
        </w:rPr>
        <w:t>L’amortissement correspondant en théorie à l’étalement de la valeur des biens sous forme de charges annuelles sur une durée d’utilisation ou de renouvellement. Ces durées sont généralement de 20 à 40 ans pour l’immobilier, de 10 à 20 ans pour les travaux d’embellissement et de 5 à 10 ans pour le mobilier. Il convient a chaque biens acquis de lui octroyer une part du prix d’acquisition relative a la valeur du terrain qui lui n’est jamais amorti puisque l’Administration considère que la TERRE ne se déprécie pas.</w:t>
      </w:r>
    </w:p>
    <w:p>
      <w:pPr>
        <w:spacing w:before="0" w:after="180" w:line="264" w:lineRule="auto"/>
        <w:ind w:firstLine="340"/>
        <w:jc w:val="both"/>
      </w:pPr>
      <w:r>
        <w:rPr>
          <w:rFonts w:ascii="Cambria" w:hAnsi="Cambria"/>
          <w:b w:val="0"/>
          <w:i w:val="0"/>
          <w:color w:val="141A21"/>
          <w:sz w:val="22"/>
        </w:rPr>
        <w:t>De plus la valeur de l’immobilier doit être « décomposée » en plusieurs composants et êtres amortis en fonction de chacun.</w:t>
      </w:r>
    </w:p>
    <w:p>
      <w:pPr>
        <w:spacing w:before="0" w:after="180" w:line="264" w:lineRule="auto"/>
        <w:ind w:firstLine="340"/>
        <w:jc w:val="both"/>
      </w:pPr>
      <w:r>
        <w:rPr>
          <w:rFonts w:ascii="Cambria" w:hAnsi="Cambria"/>
          <w:b w:val="0"/>
          <w:i w:val="0"/>
          <w:color w:val="141A21"/>
          <w:sz w:val="22"/>
        </w:rPr>
        <w:t>Les règles ne sont précises, de ce fait je vous livre ma méthode qui consiste à "découper" la valeur de l'immobilisation par tranche :</w:t>
      </w:r>
    </w:p>
    <w:p>
      <w:pPr>
        <w:spacing w:before="0" w:after="180" w:line="264" w:lineRule="auto"/>
        <w:ind w:firstLine="340"/>
        <w:jc w:val="both"/>
      </w:pPr>
      <w:r>
        <w:rPr>
          <w:rFonts w:ascii="Cambria" w:hAnsi="Cambria"/>
          <w:b w:val="0"/>
          <w:i w:val="0"/>
          <w:color w:val="141A21"/>
          <w:sz w:val="22"/>
        </w:rPr>
        <w:t>Terrain : 15% à 20%</w:t>
      </w:r>
    </w:p>
    <w:p>
      <w:pPr>
        <w:spacing w:before="0" w:after="180" w:line="264" w:lineRule="auto"/>
        <w:ind w:firstLine="340"/>
        <w:jc w:val="both"/>
      </w:pPr>
      <w:r>
        <w:rPr>
          <w:rFonts w:ascii="Cambria" w:hAnsi="Cambria"/>
          <w:b w:val="0"/>
          <w:i w:val="0"/>
          <w:color w:val="141A21"/>
          <w:sz w:val="22"/>
        </w:rPr>
        <w:t>Gros œuvre : 45 à 70%</w:t>
      </w:r>
    </w:p>
    <w:p>
      <w:pPr>
        <w:spacing w:before="0" w:after="180" w:line="264" w:lineRule="auto"/>
        <w:ind w:firstLine="340"/>
        <w:jc w:val="both"/>
      </w:pPr>
      <w:r>
        <w:rPr>
          <w:rFonts w:ascii="Cambria" w:hAnsi="Cambria"/>
          <w:b w:val="0"/>
          <w:i w:val="0"/>
          <w:color w:val="141A21"/>
          <w:sz w:val="22"/>
        </w:rPr>
        <w:t>Façade : 3% à 10%</w:t>
      </w:r>
    </w:p>
    <w:p>
      <w:pPr>
        <w:spacing w:before="0" w:after="180" w:line="264" w:lineRule="auto"/>
        <w:ind w:firstLine="340"/>
        <w:jc w:val="both"/>
      </w:pPr>
      <w:r>
        <w:rPr>
          <w:rFonts w:ascii="Cambria" w:hAnsi="Cambria"/>
          <w:b w:val="0"/>
          <w:i w:val="0"/>
          <w:color w:val="141A21"/>
          <w:sz w:val="22"/>
        </w:rPr>
        <w:t>Toiture : 3% à 5%</w:t>
      </w:r>
    </w:p>
    <w:p>
      <w:pPr>
        <w:spacing w:before="0" w:after="180" w:line="264" w:lineRule="auto"/>
        <w:ind w:firstLine="340"/>
        <w:jc w:val="both"/>
      </w:pPr>
      <w:r>
        <w:rPr>
          <w:rFonts w:ascii="Cambria" w:hAnsi="Cambria"/>
          <w:b w:val="0"/>
          <w:i w:val="0"/>
          <w:color w:val="141A21"/>
          <w:sz w:val="22"/>
        </w:rPr>
        <w:t>Installation générale : 4% à 10%</w:t>
      </w:r>
    </w:p>
    <w:p>
      <w:pPr>
        <w:spacing w:before="0" w:after="180" w:line="264" w:lineRule="auto"/>
        <w:ind w:firstLine="340"/>
        <w:jc w:val="both"/>
      </w:pPr>
      <w:r>
        <w:rPr>
          <w:rFonts w:ascii="Cambria" w:hAnsi="Cambria"/>
          <w:b w:val="0"/>
          <w:i w:val="0"/>
          <w:color w:val="141A21"/>
          <w:sz w:val="22"/>
        </w:rPr>
        <w:t>Autres agencements : 4% à 10%</w:t>
      </w:r>
    </w:p>
    <w:p>
      <w:pPr>
        <w:spacing w:before="0" w:after="180" w:line="264" w:lineRule="auto"/>
        <w:ind w:firstLine="340"/>
        <w:jc w:val="both"/>
      </w:pPr>
      <w:r>
        <w:rPr>
          <w:rFonts w:ascii="Cambria" w:hAnsi="Cambria"/>
          <w:b w:val="0"/>
          <w:i w:val="0"/>
          <w:color w:val="141A21"/>
          <w:sz w:val="22"/>
        </w:rPr>
        <w:t>Ensuite il faut déterminer la durée d'amortissement :</w:t>
      </w:r>
    </w:p>
    <w:p>
      <w:pPr>
        <w:spacing w:before="0" w:after="180" w:line="264" w:lineRule="auto"/>
        <w:ind w:firstLine="340"/>
        <w:jc w:val="both"/>
      </w:pPr>
      <w:r>
        <w:rPr>
          <w:rFonts w:ascii="Cambria" w:hAnsi="Cambria"/>
          <w:b w:val="0"/>
          <w:i w:val="0"/>
          <w:color w:val="141A21"/>
          <w:sz w:val="22"/>
        </w:rPr>
        <w:t>Terrain : non amortissable</w:t>
      </w:r>
    </w:p>
    <w:p>
      <w:pPr>
        <w:spacing w:before="0" w:after="180" w:line="264" w:lineRule="auto"/>
        <w:ind w:firstLine="340"/>
        <w:jc w:val="both"/>
      </w:pPr>
      <w:r>
        <w:rPr>
          <w:rFonts w:ascii="Cambria" w:hAnsi="Cambria"/>
          <w:b w:val="0"/>
          <w:i w:val="0"/>
          <w:color w:val="141A21"/>
          <w:sz w:val="22"/>
        </w:rPr>
        <w:t>Gros œuvre : 40 ans</w:t>
      </w:r>
    </w:p>
    <w:p>
      <w:pPr>
        <w:spacing w:before="0" w:after="180" w:line="264" w:lineRule="auto"/>
        <w:ind w:firstLine="340"/>
        <w:jc w:val="both"/>
      </w:pPr>
      <w:r>
        <w:rPr>
          <w:rFonts w:ascii="Cambria" w:hAnsi="Cambria"/>
          <w:b w:val="0"/>
          <w:i w:val="0"/>
          <w:color w:val="141A21"/>
          <w:sz w:val="22"/>
        </w:rPr>
        <w:t>Façade : 20 ans</w:t>
      </w:r>
    </w:p>
    <w:p>
      <w:pPr>
        <w:spacing w:before="0" w:after="180" w:line="264" w:lineRule="auto"/>
        <w:ind w:firstLine="340"/>
        <w:jc w:val="both"/>
      </w:pPr>
      <w:r>
        <w:rPr>
          <w:rFonts w:ascii="Cambria" w:hAnsi="Cambria"/>
          <w:b w:val="0"/>
          <w:i w:val="0"/>
          <w:color w:val="141A21"/>
          <w:sz w:val="22"/>
        </w:rPr>
        <w:t>Couverture : 25 ans</w:t>
      </w:r>
    </w:p>
    <w:p>
      <w:pPr>
        <w:spacing w:before="0" w:after="180" w:line="264" w:lineRule="auto"/>
        <w:ind w:firstLine="340"/>
        <w:jc w:val="both"/>
      </w:pPr>
      <w:r>
        <w:rPr>
          <w:rFonts w:ascii="Cambria" w:hAnsi="Cambria"/>
          <w:b w:val="0"/>
          <w:i w:val="0"/>
          <w:color w:val="141A21"/>
          <w:sz w:val="22"/>
        </w:rPr>
        <w:t>Installations générales (électricité, chauffage) : 15 ans</w:t>
      </w:r>
    </w:p>
    <w:p>
      <w:pPr>
        <w:spacing w:before="0" w:after="180" w:line="264" w:lineRule="auto"/>
        <w:ind w:firstLine="340"/>
        <w:jc w:val="both"/>
      </w:pPr>
      <w:r>
        <w:rPr>
          <w:rFonts w:ascii="Cambria" w:hAnsi="Cambria"/>
          <w:b w:val="0"/>
          <w:i w:val="0"/>
          <w:color w:val="141A21"/>
          <w:sz w:val="22"/>
        </w:rPr>
        <w:t>Autres équipements : 10 ans</w:t>
      </w:r>
    </w:p>
    <w:p>
      <w:pPr>
        <w:spacing w:before="0" w:after="180" w:line="264" w:lineRule="auto"/>
        <w:ind w:firstLine="340"/>
        <w:jc w:val="both"/>
      </w:pPr>
      <w:r>
        <w:rPr>
          <w:rFonts w:ascii="Cambria" w:hAnsi="Cambria"/>
          <w:b w:val="0"/>
          <w:i w:val="0"/>
          <w:color w:val="141A21"/>
          <w:sz w:val="22"/>
        </w:rPr>
        <w:t>Un appartement est acquit pour une valeur de 150.000€</w:t>
      </w:r>
    </w:p>
    <w:p>
      <w:pPr>
        <w:spacing w:before="0" w:after="180" w:line="264" w:lineRule="auto"/>
        <w:ind w:firstLine="340"/>
        <w:jc w:val="both"/>
      </w:pPr>
      <w:r>
        <w:rPr>
          <w:rFonts w:ascii="Cambria" w:hAnsi="Cambria"/>
          <w:b w:val="0"/>
          <w:i w:val="0"/>
          <w:color w:val="141A21"/>
          <w:sz w:val="22"/>
        </w:rPr>
        <w:t>Il est retenu une valeur de 20.000€pour le terrain.</w:t>
      </w:r>
    </w:p>
    <w:p>
      <w:pPr>
        <w:spacing w:before="0" w:after="180" w:line="264" w:lineRule="auto"/>
        <w:ind w:firstLine="340"/>
        <w:jc w:val="both"/>
      </w:pPr>
      <w:r>
        <w:rPr>
          <w:rFonts w:ascii="Cambria" w:hAnsi="Cambria"/>
          <w:b w:val="0"/>
          <w:i w:val="0"/>
          <w:color w:val="141A21"/>
          <w:sz w:val="22"/>
        </w:rPr>
        <w:t>Il reste donc une somme de 130.000€ à amortir.</w:t>
      </w:r>
    </w:p>
    <w:p>
      <w:pPr>
        <w:spacing w:before="0" w:after="180" w:line="264" w:lineRule="auto"/>
        <w:ind w:firstLine="340"/>
        <w:jc w:val="both"/>
      </w:pPr>
      <w:r>
        <w:rPr>
          <w:rFonts w:ascii="Cambria" w:hAnsi="Cambria"/>
          <w:b w:val="0"/>
          <w:i w:val="0"/>
          <w:color w:val="141A21"/>
          <w:sz w:val="22"/>
        </w:rPr>
        <w:t>Nous pouvons retenir cette ventilation des composants :</w:t>
      </w:r>
    </w:p>
    <w:p>
      <w:pPr>
        <w:spacing w:before="0" w:after="180" w:line="264" w:lineRule="auto"/>
        <w:ind w:firstLine="340"/>
        <w:jc w:val="both"/>
      </w:pPr>
      <w:r>
        <w:rPr>
          <w:rFonts w:ascii="Cambria" w:hAnsi="Cambria"/>
          <w:b w:val="0"/>
          <w:i w:val="0"/>
          <w:color w:val="141A21"/>
          <w:sz w:val="22"/>
        </w:rPr>
        <w:t>Terrain : 20.000€ non amorti</w:t>
      </w:r>
    </w:p>
    <w:p>
      <w:pPr>
        <w:spacing w:before="0" w:after="180" w:line="264" w:lineRule="auto"/>
        <w:ind w:firstLine="340"/>
        <w:jc w:val="both"/>
      </w:pPr>
      <w:r>
        <w:rPr>
          <w:rFonts w:ascii="Cambria" w:hAnsi="Cambria"/>
          <w:b w:val="0"/>
          <w:i w:val="0"/>
          <w:color w:val="141A21"/>
          <w:sz w:val="22"/>
        </w:rPr>
        <w:t>Gros œuvre : 70% de 130K€ = 91K€ sur 40ans = 2.275€ d'amortissement par an</w:t>
      </w:r>
    </w:p>
    <w:p>
      <w:pPr>
        <w:spacing w:before="0" w:after="180" w:line="264" w:lineRule="auto"/>
        <w:ind w:firstLine="340"/>
        <w:jc w:val="both"/>
      </w:pPr>
      <w:r>
        <w:rPr>
          <w:rFonts w:ascii="Cambria" w:hAnsi="Cambria"/>
          <w:b w:val="0"/>
          <w:i w:val="0"/>
          <w:color w:val="141A21"/>
          <w:sz w:val="22"/>
        </w:rPr>
        <w:t>Façade : 3% de 130K€ = 3.900€ sur 20 ans = 195€ / an</w:t>
      </w:r>
    </w:p>
    <w:p>
      <w:pPr>
        <w:spacing w:before="0" w:after="180" w:line="264" w:lineRule="auto"/>
        <w:ind w:firstLine="340"/>
        <w:jc w:val="both"/>
      </w:pPr>
      <w:r>
        <w:rPr>
          <w:rFonts w:ascii="Cambria" w:hAnsi="Cambria"/>
          <w:b w:val="0"/>
          <w:i w:val="0"/>
          <w:color w:val="141A21"/>
          <w:sz w:val="22"/>
        </w:rPr>
        <w:t>Couverture : 4% de 130K€ = 5.200€ sur 25 ans = 208€ / an</w:t>
      </w:r>
    </w:p>
    <w:p>
      <w:pPr>
        <w:spacing w:before="0" w:after="180" w:line="264" w:lineRule="auto"/>
        <w:ind w:firstLine="340"/>
        <w:jc w:val="both"/>
      </w:pPr>
      <w:r>
        <w:rPr>
          <w:rFonts w:ascii="Cambria" w:hAnsi="Cambria"/>
          <w:b w:val="0"/>
          <w:i w:val="0"/>
          <w:color w:val="141A21"/>
          <w:sz w:val="22"/>
        </w:rPr>
        <w:t>Installations générales (électricité, chauffage) : 4% de 130K€ = 5.200€ sur 15 ans = 347€ / an</w:t>
      </w:r>
    </w:p>
    <w:p>
      <w:pPr>
        <w:spacing w:before="0" w:after="180" w:line="264" w:lineRule="auto"/>
        <w:ind w:firstLine="340"/>
        <w:jc w:val="both"/>
      </w:pPr>
      <w:r>
        <w:rPr>
          <w:rFonts w:ascii="Cambria" w:hAnsi="Cambria"/>
          <w:b w:val="0"/>
          <w:i w:val="0"/>
          <w:color w:val="141A21"/>
          <w:sz w:val="22"/>
        </w:rPr>
        <w:t>Autres équipements (ascenseurs) : 5% de 130K€ = 6.500€ sur 10 ans = 650 € / an</w:t>
      </w:r>
    </w:p>
    <w:p>
      <w:pPr>
        <w:spacing w:before="0" w:after="180" w:line="264" w:lineRule="auto"/>
        <w:ind w:firstLine="340"/>
        <w:jc w:val="both"/>
      </w:pPr>
      <w:r>
        <w:rPr>
          <w:rFonts w:ascii="Cambria" w:hAnsi="Cambria"/>
          <w:b w:val="0"/>
          <w:i w:val="0"/>
          <w:color w:val="141A21"/>
          <w:sz w:val="22"/>
        </w:rPr>
        <w:t>Je ne peux vous conseiller de faire une analyse des derniers comptes-rendus des assemblées des copropriétaires pour savoir a quand remonte le dernier ravalement, la rénovation de la toiture, la mise en conformité de ascenseurs etc. en effet cela vous permettra d’ajuster les durée d’amortissements.</w:t>
      </w:r>
    </w:p>
    <w:p>
      <w:pPr>
        <w:spacing w:before="0" w:after="180" w:line="264" w:lineRule="auto"/>
        <w:ind w:firstLine="340"/>
        <w:jc w:val="both"/>
      </w:pPr>
      <w:r>
        <w:rPr>
          <w:rFonts w:ascii="Cambria" w:hAnsi="Cambria"/>
          <w:b w:val="0"/>
          <w:i w:val="0"/>
          <w:color w:val="141A21"/>
          <w:sz w:val="22"/>
        </w:rPr>
        <w:t>De plus chaque professionnel a retenu une méthode de décomposition des immobilisations, je ne peux que vous conseiller de l'appliquer car c'est lui qui défendra cette méthode lors d'un contrôle de l'Administration. Néanmoins n'oubliez pas de versifier que la valeur du terrain a bien ressortie et est non amortie, que la durée d'amortissement du gros œuvre est en fonction de l'emplacement de l'immeuble, on amortira sur une plus longue durée un immeuble situé sur rue de paix à Paris que dans une autre banlieue réputée "chaude".</w:t>
      </w:r>
    </w:p>
    <w:p>
      <w:pPr>
        <w:pStyle w:val="Heading3"/>
        <w:spacing w:before="400" w:after="100" w:line="276" w:lineRule="auto"/>
      </w:pPr>
      <w:r>
        <w:rPr>
          <w:rFonts w:ascii="Calibri" w:hAnsi="Calibri"/>
          <w:b/>
          <w:i w:val="0"/>
          <w:color w:val="141A21"/>
          <w:sz w:val="27"/>
        </w:rPr>
        <w:t>Le cadre juridique et les obligations</w:t>
      </w:r>
    </w:p>
    <w:p>
      <w:pPr>
        <w:spacing w:before="0" w:after="180" w:line="264" w:lineRule="auto"/>
        <w:jc w:val="both"/>
      </w:pPr>
      <w:r>
        <w:rPr>
          <w:rFonts w:ascii="Cambria" w:hAnsi="Cambria"/>
          <w:b w:val="0"/>
          <w:i w:val="0"/>
          <w:color w:val="141A21"/>
          <w:sz w:val="22"/>
        </w:rPr>
        <w:t>Les revenus de l’activité de loueur en meublé sont considérés par l’administration fiscale comme des BIC, Bénéfices Industriels et Commerciaux comme la plupart des entreprises, donc avec des règles comptables spécifiques, de la TVA (taxe sur la valeur ajoutée) et très souvent l’obligation de présenter chaque année un bilan. La se pose la question de savoir si vous pouvez gérer seul ces obligations ou faut-il vous faire aider et demander l’assistance de professionnels comme les experts-comptables. Surtout n’oubliez pas de les rencontrer avant la mise sur route de votre projet afin de bien déterminer les options fiscales et sociales qui s’ouvrent à vous comme l’adhésion ou non à un Centre de Gestion Agréé, dit CGA même si rien ne vous y oblige, ouvrez un comptes bancaire spécifique à l’activité de loueur en meublée, voir même un compte par « lot » mis à la location, ce dernier point augmente votre gestion comptable mais peut vous permettre de mieux gérer la rentabilité d’un bien immobilier, d’un lot. Un peu de vocabulaire pour bien se comprendre. Prenons comme hypothèse que vous achetiez un immeuble comprenant au rez-de-chaussée une boutique et 2 étages avec a chaque étage 2 appartements. Vous possédez UN bien immobilier mais CINQ lots. Gardez bien à l’esprit que louer un bien meublé est avant tout l’exercice d’une activité économique via un investissement immobilier, donc investissement important, et n’est pas seulement un cadre fiscal avantageux donc rappeler vous les fondamentaux des investissements immobiliers :</w:t>
      </w:r>
    </w:p>
    <w:p>
      <w:pPr>
        <w:spacing w:before="0" w:after="180" w:line="264" w:lineRule="auto"/>
        <w:ind w:firstLine="340"/>
        <w:jc w:val="both"/>
      </w:pPr>
      <w:r>
        <w:rPr>
          <w:rFonts w:ascii="Cambria" w:hAnsi="Cambria"/>
          <w:b w:val="0"/>
          <w:i w:val="0"/>
          <w:color w:val="141A21"/>
          <w:sz w:val="22"/>
        </w:rPr>
        <w:t>Un bon emplacement ;</w:t>
      </w:r>
    </w:p>
    <w:p>
      <w:pPr>
        <w:spacing w:before="0" w:after="180" w:line="264" w:lineRule="auto"/>
        <w:ind w:firstLine="340"/>
        <w:jc w:val="both"/>
      </w:pPr>
      <w:r>
        <w:rPr>
          <w:rFonts w:ascii="Cambria" w:hAnsi="Cambria"/>
          <w:b w:val="0"/>
          <w:i w:val="0"/>
          <w:color w:val="141A21"/>
          <w:sz w:val="22"/>
        </w:rPr>
        <w:t>Dans un secteur géographique attractif ;</w:t>
      </w:r>
    </w:p>
    <w:p>
      <w:pPr>
        <w:spacing w:before="0" w:after="180" w:line="264" w:lineRule="auto"/>
        <w:ind w:firstLine="340"/>
        <w:jc w:val="both"/>
      </w:pPr>
      <w:r>
        <w:rPr>
          <w:rFonts w:ascii="Cambria" w:hAnsi="Cambria"/>
          <w:b w:val="0"/>
          <w:i w:val="0"/>
          <w:color w:val="141A21"/>
          <w:sz w:val="22"/>
        </w:rPr>
        <w:t>Suffisamment proche de votre domicile ou de votre lieu de travail ou de villégiature afin de pouvoir vous y rendre facilement en cas de besoin ;</w:t>
      </w:r>
    </w:p>
    <w:p>
      <w:pPr>
        <w:spacing w:before="0" w:after="180" w:line="264" w:lineRule="auto"/>
        <w:ind w:firstLine="340"/>
        <w:jc w:val="both"/>
      </w:pPr>
      <w:r>
        <w:rPr>
          <w:rFonts w:ascii="Cambria" w:hAnsi="Cambria"/>
          <w:b w:val="0"/>
          <w:i w:val="0"/>
          <w:color w:val="141A21"/>
          <w:sz w:val="22"/>
        </w:rPr>
        <w:t>Et que la construction soit de bonne qualité avec de bons matériaux édifiée de façon professionnelle.</w:t>
      </w:r>
    </w:p>
    <w:p>
      <w:pPr>
        <w:spacing w:before="0" w:after="180" w:line="264" w:lineRule="auto"/>
        <w:ind w:firstLine="340"/>
        <w:jc w:val="both"/>
      </w:pPr>
      <w:r>
        <w:rPr>
          <w:rFonts w:ascii="Cambria" w:hAnsi="Cambria"/>
          <w:b w:val="0"/>
          <w:i w:val="0"/>
          <w:color w:val="141A21"/>
          <w:sz w:val="22"/>
        </w:rPr>
        <w:t>La loi pour l’accès au logement et un urbanisme rénové dite ALUR du 24 mars 2014 a défini lu logement meublé comme « un logement décent équipé d’un mobilier en nombre et en qualité suffisants pour permettre au locataire d’y dormir, manger et vivre convenablement au regard des exigences de la vie courante ». Le décret du 31 juillet 2015 fixe la liste des éléments de mobilier d’un logement meublé :</w:t>
      </w:r>
    </w:p>
    <w:p>
      <w:pPr>
        <w:spacing w:before="0" w:after="180" w:line="264" w:lineRule="auto"/>
        <w:ind w:firstLine="340"/>
        <w:jc w:val="both"/>
      </w:pPr>
      <w:r>
        <w:rPr>
          <w:rFonts w:ascii="Cambria" w:hAnsi="Cambria"/>
          <w:b w:val="0"/>
          <w:i w:val="0"/>
          <w:color w:val="141A21"/>
          <w:sz w:val="22"/>
        </w:rPr>
        <w:t>Une literie comprenant une couette ou une couverture ;</w:t>
      </w:r>
    </w:p>
    <w:p>
      <w:pPr>
        <w:spacing w:before="0" w:after="180" w:line="264" w:lineRule="auto"/>
        <w:ind w:firstLine="340"/>
        <w:jc w:val="both"/>
      </w:pPr>
      <w:r>
        <w:rPr>
          <w:rFonts w:ascii="Cambria" w:hAnsi="Cambria"/>
          <w:b w:val="0"/>
          <w:i w:val="0"/>
          <w:color w:val="141A21"/>
          <w:sz w:val="22"/>
        </w:rPr>
        <w:t>Un dispositif d’occultation des fenêtres dans les pièces destinées à être utilisées comme chambre à coucher ;</w:t>
      </w:r>
    </w:p>
    <w:p>
      <w:pPr>
        <w:spacing w:before="0" w:after="180" w:line="264" w:lineRule="auto"/>
        <w:ind w:firstLine="340"/>
        <w:jc w:val="both"/>
      </w:pPr>
      <w:r>
        <w:rPr>
          <w:rFonts w:ascii="Cambria" w:hAnsi="Cambria"/>
          <w:b w:val="0"/>
          <w:i w:val="0"/>
          <w:color w:val="141A21"/>
          <w:sz w:val="22"/>
        </w:rPr>
        <w:t>Des plaques de cuisson ;</w:t>
      </w:r>
    </w:p>
    <w:p>
      <w:pPr>
        <w:spacing w:before="0" w:after="180" w:line="264" w:lineRule="auto"/>
        <w:ind w:firstLine="340"/>
        <w:jc w:val="both"/>
      </w:pPr>
      <w:r>
        <w:rPr>
          <w:rFonts w:ascii="Cambria" w:hAnsi="Cambria"/>
          <w:b w:val="0"/>
          <w:i w:val="0"/>
          <w:color w:val="141A21"/>
          <w:sz w:val="22"/>
        </w:rPr>
        <w:t>Un four à micro-onde ou un four traditionnel ;</w:t>
      </w:r>
    </w:p>
    <w:p>
      <w:pPr>
        <w:spacing w:before="0" w:after="180" w:line="264" w:lineRule="auto"/>
        <w:ind w:firstLine="340"/>
        <w:jc w:val="both"/>
      </w:pPr>
      <w:r>
        <w:rPr>
          <w:rFonts w:ascii="Cambria" w:hAnsi="Cambria"/>
          <w:b w:val="0"/>
          <w:i w:val="0"/>
          <w:color w:val="141A21"/>
          <w:sz w:val="22"/>
        </w:rPr>
        <w:t>Un réfrigérateur et un congélateur ou, au minimum, un réfrigérateur doté d’un compartiment permettant de disposer d’une température inférieure ou égale à -6° ;</w:t>
      </w:r>
    </w:p>
    <w:p>
      <w:pPr>
        <w:spacing w:before="0" w:after="180" w:line="264" w:lineRule="auto"/>
        <w:ind w:firstLine="340"/>
        <w:jc w:val="both"/>
      </w:pPr>
      <w:r>
        <w:rPr>
          <w:rFonts w:ascii="Cambria" w:hAnsi="Cambria"/>
          <w:b w:val="0"/>
          <w:i w:val="0"/>
          <w:color w:val="141A21"/>
          <w:sz w:val="22"/>
        </w:rPr>
        <w:t>La vaisselle nécessaire à la prise des repas ;</w:t>
      </w:r>
    </w:p>
    <w:p>
      <w:pPr>
        <w:spacing w:before="0" w:after="180" w:line="264" w:lineRule="auto"/>
        <w:ind w:firstLine="340"/>
        <w:jc w:val="both"/>
      </w:pPr>
      <w:r>
        <w:rPr>
          <w:rFonts w:ascii="Cambria" w:hAnsi="Cambria"/>
          <w:b w:val="0"/>
          <w:i w:val="0"/>
          <w:color w:val="141A21"/>
          <w:sz w:val="22"/>
        </w:rPr>
        <w:t>Une table et des sièges ;</w:t>
      </w:r>
    </w:p>
    <w:p>
      <w:pPr>
        <w:spacing w:before="0" w:after="180" w:line="264" w:lineRule="auto"/>
        <w:ind w:firstLine="340"/>
        <w:jc w:val="both"/>
      </w:pPr>
      <w:r>
        <w:rPr>
          <w:rFonts w:ascii="Cambria" w:hAnsi="Cambria"/>
          <w:b w:val="0"/>
          <w:i w:val="0"/>
          <w:color w:val="141A21"/>
          <w:sz w:val="22"/>
        </w:rPr>
        <w:t>Des étagères de rangement ;</w:t>
      </w:r>
    </w:p>
    <w:p>
      <w:pPr>
        <w:spacing w:before="0" w:after="180" w:line="264" w:lineRule="auto"/>
        <w:ind w:firstLine="340"/>
        <w:jc w:val="both"/>
      </w:pPr>
      <w:r>
        <w:rPr>
          <w:rFonts w:ascii="Cambria" w:hAnsi="Cambria"/>
          <w:b w:val="0"/>
          <w:i w:val="0"/>
          <w:color w:val="141A21"/>
          <w:sz w:val="22"/>
        </w:rPr>
        <w:t>Des luminaires ;</w:t>
      </w:r>
    </w:p>
    <w:p>
      <w:pPr>
        <w:spacing w:before="0" w:after="180" w:line="264" w:lineRule="auto"/>
        <w:ind w:firstLine="340"/>
        <w:jc w:val="both"/>
      </w:pPr>
      <w:r>
        <w:rPr>
          <w:rFonts w:ascii="Cambria" w:hAnsi="Cambria"/>
          <w:b w:val="0"/>
          <w:i w:val="0"/>
          <w:color w:val="141A21"/>
          <w:sz w:val="22"/>
        </w:rPr>
        <w:t>Le matériel d’entretien ménager adapté aux caractéristiques du logement (aspirateur et/ou balais et seau).</w:t>
      </w:r>
    </w:p>
    <w:p>
      <w:pPr>
        <w:spacing w:before="0" w:after="180" w:line="264" w:lineRule="auto"/>
        <w:ind w:firstLine="340"/>
        <w:jc w:val="both"/>
      </w:pPr>
      <w:r>
        <w:rPr>
          <w:rFonts w:ascii="Cambria" w:hAnsi="Cambria"/>
          <w:b w:val="0"/>
          <w:i w:val="0"/>
          <w:color w:val="141A21"/>
          <w:sz w:val="22"/>
        </w:rPr>
        <w:t>Les contrats de locations proposés peuvent être de longues durées, pour constituer l’habitation principale de l’occupant d’une durée d’un an renouvelable ; ou cela peut aussi être l’habitation d’un étudiant et là on ferra des baux de 9 mois correspondant à leur année scolaire.</w:t>
      </w:r>
    </w:p>
    <w:p>
      <w:pPr>
        <w:spacing w:before="0" w:after="180" w:line="264" w:lineRule="auto"/>
        <w:ind w:firstLine="340"/>
        <w:jc w:val="both"/>
      </w:pPr>
      <w:r>
        <w:rPr>
          <w:rFonts w:ascii="Cambria" w:hAnsi="Cambria"/>
          <w:b w:val="0"/>
          <w:i w:val="0"/>
          <w:color w:val="141A21"/>
          <w:sz w:val="22"/>
        </w:rPr>
        <w:t>Vous pouvez également privilégier les contrats de courtes durées, à la semaine voir à la nuitée. Dans ce cas vous devez vous assurer que vos locaux destinées à cette activité sont considérées comme des locaux commerciaux au sens du code de la construction et de l’habitation, dans les agglomérations de plus de 200.000 habitants comme à PARIS.</w:t>
      </w:r>
    </w:p>
    <w:p>
      <w:pPr>
        <w:spacing w:before="0" w:after="180" w:line="264" w:lineRule="auto"/>
        <w:ind w:firstLine="340"/>
        <w:jc w:val="both"/>
      </w:pPr>
      <w:r>
        <w:rPr>
          <w:rFonts w:ascii="Cambria" w:hAnsi="Cambria"/>
          <w:b w:val="0"/>
          <w:i w:val="0"/>
          <w:color w:val="141A21"/>
          <w:sz w:val="22"/>
        </w:rPr>
        <w:t>Vous pouvez également « investir » dans des biens immobiliers destinés à la location en résidences de services. Vous êtes propriétaire de votre bien immobilier que vous loué à un exploitant de résidence de services (résidences étudiantes, résidences hôtelières, résidences de loisirs et résidences pour personnes âgées dépendantes ou pas) et ce dernier le sous-loue à un bénéficiaire final en proposant des services complémentaires comme la réception et l’accueil des locataires avec remise des clés, l’entretien et le ménage, fourniture de linge de maison, restauration …). Dans ce cas vous serez normalement assujetti à la TVA sur cette activité. Ce mode d’investissement est encourager par le législateur via le dispositif fiscal dit CENSI BOUVARD qui accorde une réduction d’impôt sur le revenus de 11% actuellement de la valeur du bien immobilier sous conditions.</w:t>
      </w:r>
    </w:p>
    <w:p>
      <w:pPr>
        <w:spacing w:before="0" w:after="180" w:line="264" w:lineRule="auto"/>
        <w:ind w:firstLine="340"/>
        <w:jc w:val="both"/>
      </w:pPr>
      <w:r>
        <w:rPr>
          <w:rFonts w:ascii="Cambria" w:hAnsi="Cambria"/>
          <w:b w:val="0"/>
          <w:i w:val="0"/>
          <w:color w:val="141A21"/>
          <w:sz w:val="22"/>
        </w:rPr>
        <w:t>La location meublée au travers de l’utilisation de mobiles-homes se développe, mais comme le mobile-home n’est pas figé dans le sol, il est réputé être mobile donc c’est un bien mobilier et pour cette raison ces locations suivent un régime particulier surtout en matière de TVA.</w:t>
      </w:r>
    </w:p>
    <w:p>
      <w:pPr>
        <w:spacing w:before="0" w:after="180" w:line="264" w:lineRule="auto"/>
        <w:ind w:firstLine="340"/>
        <w:jc w:val="both"/>
      </w:pPr>
      <w:r>
        <w:rPr>
          <w:rFonts w:ascii="Cambria" w:hAnsi="Cambria"/>
          <w:b w:val="0"/>
          <w:i w:val="0"/>
          <w:color w:val="141A21"/>
          <w:sz w:val="22"/>
        </w:rPr>
        <w:t>Vous pouvez également vous débrouillez tout seul dans ce domaine de services hôteliers ou para hôteliers en proposant les prestations suivantes pendant le séjour du locataire :</w:t>
      </w:r>
    </w:p>
    <w:p>
      <w:pPr>
        <w:spacing w:before="0" w:after="180" w:line="264" w:lineRule="auto"/>
        <w:ind w:firstLine="340"/>
        <w:jc w:val="both"/>
      </w:pPr>
      <w:r>
        <w:rPr>
          <w:rFonts w:ascii="Cambria" w:hAnsi="Cambria"/>
          <w:b w:val="0"/>
          <w:i w:val="0"/>
          <w:color w:val="141A21"/>
          <w:sz w:val="22"/>
        </w:rPr>
        <w:t>Accueil des personnes hébergées ;</w:t>
      </w:r>
    </w:p>
    <w:p>
      <w:pPr>
        <w:spacing w:before="0" w:after="180" w:line="264" w:lineRule="auto"/>
        <w:ind w:firstLine="340"/>
        <w:jc w:val="both"/>
      </w:pPr>
      <w:r>
        <w:rPr>
          <w:rFonts w:ascii="Cambria" w:hAnsi="Cambria"/>
          <w:b w:val="0"/>
          <w:i w:val="0"/>
          <w:color w:val="141A21"/>
          <w:sz w:val="22"/>
        </w:rPr>
        <w:t>Fourniture du petit déjeuner ;</w:t>
      </w:r>
    </w:p>
    <w:p>
      <w:pPr>
        <w:spacing w:before="0" w:after="180" w:line="264" w:lineRule="auto"/>
        <w:ind w:firstLine="340"/>
        <w:jc w:val="both"/>
      </w:pPr>
      <w:r>
        <w:rPr>
          <w:rFonts w:ascii="Cambria" w:hAnsi="Cambria"/>
          <w:b w:val="0"/>
          <w:i w:val="0"/>
          <w:color w:val="141A21"/>
          <w:sz w:val="22"/>
        </w:rPr>
        <w:t>Fourniture du linge de maison ;</w:t>
      </w:r>
    </w:p>
    <w:p>
      <w:pPr>
        <w:spacing w:before="0" w:after="180" w:line="264" w:lineRule="auto"/>
        <w:ind w:firstLine="340"/>
        <w:jc w:val="both"/>
      </w:pPr>
      <w:r>
        <w:rPr>
          <w:rFonts w:ascii="Cambria" w:hAnsi="Cambria"/>
          <w:b w:val="0"/>
          <w:i w:val="0"/>
          <w:color w:val="141A21"/>
          <w:sz w:val="22"/>
        </w:rPr>
        <w:t>Nettoyage régulier de la location.</w:t>
      </w:r>
    </w:p>
    <w:p>
      <w:pPr>
        <w:spacing w:before="0" w:after="180" w:line="264" w:lineRule="auto"/>
        <w:ind w:firstLine="340"/>
        <w:jc w:val="both"/>
      </w:pPr>
      <w:r>
        <w:rPr>
          <w:rFonts w:ascii="Cambria" w:hAnsi="Cambria"/>
          <w:b w:val="0"/>
          <w:i w:val="0"/>
          <w:color w:val="141A21"/>
          <w:sz w:val="22"/>
        </w:rPr>
        <w:t>Mais ceci devient une activité commerciale à part entière.</w:t>
      </w:r>
    </w:p>
    <w:p>
      <w:pPr>
        <w:spacing w:before="0" w:after="180" w:line="264" w:lineRule="auto"/>
        <w:ind w:firstLine="340"/>
        <w:jc w:val="both"/>
      </w:pPr>
      <w:r>
        <w:rPr>
          <w:rFonts w:ascii="Cambria" w:hAnsi="Cambria"/>
          <w:b w:val="0"/>
          <w:i w:val="0"/>
          <w:color w:val="141A21"/>
          <w:sz w:val="22"/>
        </w:rPr>
        <w:t>Si vous restez dans l’activité dite simple, sans prestation hôtelières, vous êtes dans le cadre de la location d’un logement et la location des meubles est considéré par la jurisprudence comme accessoire à la location de l’immeuble et de ce fait si vous n’exercez pas ces prestations et que vous maintenez votre chiffre d’affaires en dessous des seuils vu plus haut, votre statut juridique est civil et vous n’êtes pas en principe un commerçant. A l’inverse si votre activité est réputée commerciale comme l’hôtellerie il vous faudra vous inscrire auprès du tribunal de commerce.</w:t>
      </w:r>
    </w:p>
    <w:p>
      <w:pPr>
        <w:spacing w:before="0" w:after="180" w:line="264" w:lineRule="auto"/>
        <w:ind w:firstLine="340"/>
        <w:jc w:val="both"/>
      </w:pPr>
      <w:r>
        <w:rPr>
          <w:rFonts w:ascii="Cambria" w:hAnsi="Cambria"/>
          <w:b w:val="0"/>
          <w:i w:val="0"/>
          <w:color w:val="141A21"/>
          <w:sz w:val="22"/>
        </w:rPr>
        <w:t>Quelque soit le régime (micro ou réel) ou que l’activité soit exercée en professionnelle ou non, les loueurs en meublée doivent déclarer à l’administration leur activité au plus tard dans les 15 jours du début de celle-ci. Si vous exercez en non professionnel soit en LMNP vous devez effectuer vos démarches auprès du greffe du tribunal de commerce qui se chargera de prévenir les différents organismes et vous produira un numéro SIREN vous permettant d’exercer votre activité en toute sérénité. Si vous décidez que votre activité sera dite professionnelle vous devez dans ce cas vous rapprocher du centre de formalité des entreprises, CFE, de la chambre de commerce dont vous dépendez et ce dernier informera tous les organismes dont en plus l’URSSAF pour que vous soyez inscrit au Régime Social des Indépendants, le fameux RSI, qui vous collectera des charges sociales.</w:t>
      </w:r>
    </w:p>
    <w:p>
      <w:pPr>
        <w:spacing w:before="0" w:after="180" w:line="264" w:lineRule="auto"/>
        <w:ind w:firstLine="340"/>
        <w:jc w:val="both"/>
      </w:pPr>
      <w:r>
        <w:rPr>
          <w:rFonts w:ascii="Cambria" w:hAnsi="Cambria"/>
          <w:b w:val="0"/>
          <w:i w:val="0"/>
          <w:color w:val="141A21"/>
          <w:sz w:val="22"/>
        </w:rPr>
        <w:t>Rappelons quelques règles :</w:t>
      </w:r>
    </w:p>
    <w:p>
      <w:pPr>
        <w:spacing w:before="0" w:after="180" w:line="264" w:lineRule="auto"/>
        <w:ind w:firstLine="340"/>
        <w:jc w:val="both"/>
      </w:pPr>
      <w:r>
        <w:rPr>
          <w:rFonts w:ascii="Cambria" w:hAnsi="Cambria"/>
          <w:b w:val="0"/>
          <w:i w:val="0"/>
          <w:color w:val="141A21"/>
          <w:sz w:val="22"/>
        </w:rPr>
        <w:t>Le local que vous souhaitez exploiter en meublé doit être supérieur à 9 m² en surface habitable et d’une hauteur sous plafond de 2,20 m.</w:t>
      </w:r>
    </w:p>
    <w:p>
      <w:pPr>
        <w:spacing w:before="0" w:after="180" w:line="264" w:lineRule="auto"/>
        <w:ind w:firstLine="340"/>
        <w:jc w:val="both"/>
      </w:pPr>
      <w:r>
        <w:rPr>
          <w:rFonts w:ascii="Cambria" w:hAnsi="Cambria"/>
          <w:b w:val="0"/>
          <w:i w:val="0"/>
          <w:color w:val="141A21"/>
          <w:sz w:val="22"/>
        </w:rPr>
        <w:t>Vérifiez que la copropriété autorise cette activité car parfois et afin de préserver la tranquillité des occupants de l’immeuble, vous découvriez à la lecture du règlement de copropriété que l’activité de location saisonnière est prescrite dans l’immeuble ;</w:t>
      </w:r>
    </w:p>
    <w:p>
      <w:pPr>
        <w:spacing w:before="0" w:after="180" w:line="264" w:lineRule="auto"/>
        <w:ind w:firstLine="340"/>
        <w:jc w:val="both"/>
      </w:pPr>
      <w:r>
        <w:rPr>
          <w:rFonts w:ascii="Cambria" w:hAnsi="Cambria"/>
          <w:b w:val="0"/>
          <w:i w:val="0"/>
          <w:color w:val="141A21"/>
          <w:sz w:val="22"/>
        </w:rPr>
        <w:t>Vérifiez que les dispositions de l’article L. 613-7 du code de la construction et de l’habitation, vous autorise à utiliser un local destiné à l’habitation en local destiné à l’activité de loueur en meublé surtout saisonnière.</w:t>
      </w:r>
    </w:p>
    <w:p>
      <w:pPr>
        <w:spacing w:before="0" w:after="180" w:line="264" w:lineRule="auto"/>
        <w:ind w:firstLine="340"/>
        <w:jc w:val="both"/>
      </w:pPr>
      <w:r>
        <w:rPr>
          <w:rFonts w:ascii="Cambria" w:hAnsi="Cambria"/>
          <w:b w:val="0"/>
          <w:i w:val="0"/>
          <w:color w:val="141A21"/>
          <w:sz w:val="22"/>
        </w:rPr>
        <w:t>Le fait de ne pas respecter ces réglementations peut entrainer des sanctions, une amende de 25 000€ par bien loué en infraction et l’obligation de mettre fin à la location meublée et que le bien retrouve sa qualité initiale de logement d’habitation.</w:t>
      </w:r>
    </w:p>
    <w:p>
      <w:pPr>
        <w:spacing w:before="0" w:after="180" w:line="264" w:lineRule="auto"/>
        <w:ind w:firstLine="340"/>
        <w:jc w:val="both"/>
      </w:pPr>
      <w:r>
        <w:rPr>
          <w:rFonts w:ascii="Cambria" w:hAnsi="Cambria"/>
          <w:b w:val="0"/>
          <w:i w:val="0"/>
          <w:color w:val="141A21"/>
          <w:sz w:val="22"/>
        </w:rPr>
        <w:t>Pour information, la loi ALUR de janvier 2014 autorise qu’un particulier puise effectuer de la location saisonnière dans sa résidence principale, sans autorisation, s’il utilise à titre de résidence principale ce local plus de 183 jours par année.</w:t>
      </w:r>
    </w:p>
    <w:p>
      <w:pPr>
        <w:spacing w:before="0" w:after="180" w:line="264" w:lineRule="auto"/>
        <w:ind w:firstLine="340"/>
        <w:jc w:val="both"/>
      </w:pPr>
      <w:r>
        <w:rPr>
          <w:rFonts w:ascii="Cambria" w:hAnsi="Cambria"/>
          <w:b w:val="0"/>
          <w:i w:val="0"/>
          <w:color w:val="141A21"/>
          <w:sz w:val="22"/>
        </w:rPr>
        <w:t>La mémé loi ALUR a précisé que lorsque le bien meublé constitue la résidence principale du locataire, le bail doit être d’un an minimum ou de 9 mois minimum s’il s’agit d’un étudiant et écrit obligatoirement comportant la liste des meubles et matériels fournis. Ce bail est renouvelable tacitement et peut être résilié par la locataire à tous moment avec un préavis d’un mois et à la fin du contrat avec préavis motivé de 3 mois par le bailleur. Ce dernier devra indiquer le motif de la rupture du bail qui peut être la vente du local, la reprise pour y habiter personnellement ou loger un de ses enfants ou un parent. Si le locataire est âgé de +65 ans et disposant de faibles ressources annuelles, le bailleur de pourra donner son congés à son locataire sauf en cas de non exécution des obligations du locataire, comme par exemple le non paiement du loyer ou la provocation de troubles au voisinage.</w:t>
      </w:r>
    </w:p>
    <w:p>
      <w:pPr>
        <w:spacing w:before="0" w:after="180" w:line="264" w:lineRule="auto"/>
        <w:ind w:firstLine="340"/>
        <w:jc w:val="both"/>
      </w:pPr>
      <w:r>
        <w:rPr>
          <w:rFonts w:ascii="Cambria" w:hAnsi="Cambria"/>
          <w:b w:val="0"/>
          <w:i w:val="0"/>
          <w:color w:val="141A21"/>
          <w:sz w:val="22"/>
        </w:rPr>
        <w:t>Pour information, le renouvellement n’est pas autorisé pour un bail de 9 mois, néanmoins la conclusion d’un nouveau bail avec le même étudiant est possible durant l’ensemble de sa scolarité.</w:t>
      </w:r>
    </w:p>
    <w:p>
      <w:pPr>
        <w:spacing w:before="0" w:after="180" w:line="264" w:lineRule="auto"/>
        <w:ind w:firstLine="340"/>
        <w:jc w:val="both"/>
      </w:pPr>
      <w:r>
        <w:rPr>
          <w:rFonts w:ascii="Cambria" w:hAnsi="Cambria"/>
          <w:b w:val="0"/>
          <w:i w:val="0"/>
          <w:color w:val="141A21"/>
          <w:sz w:val="22"/>
        </w:rPr>
        <w:t>Je ne peux que vous conseiller de prendre conseil pour la rédaction du bail.</w:t>
      </w:r>
    </w:p>
    <w:p>
      <w:pPr>
        <w:pStyle w:val="Heading3"/>
        <w:spacing w:before="400" w:after="100" w:line="276" w:lineRule="auto"/>
      </w:pPr>
      <w:r>
        <w:rPr>
          <w:rFonts w:ascii="Calibri" w:hAnsi="Calibri"/>
          <w:b/>
          <w:i w:val="0"/>
          <w:color w:val="141A21"/>
          <w:sz w:val="27"/>
        </w:rPr>
        <w:t>La fixation du loyer</w:t>
      </w:r>
    </w:p>
    <w:p>
      <w:pPr>
        <w:spacing w:before="0" w:after="180" w:line="264" w:lineRule="auto"/>
        <w:jc w:val="both"/>
      </w:pPr>
      <w:r>
        <w:rPr>
          <w:rFonts w:ascii="Cambria" w:hAnsi="Cambria"/>
          <w:b w:val="0"/>
          <w:i w:val="0"/>
          <w:color w:val="141A21"/>
          <w:sz w:val="22"/>
        </w:rPr>
        <w:t>Ca y est on peut démarrer notre activité, nous avons acheté notre bien immobilier, nous avons la plupart du temps emprunté pour l’acquérir donc nous avons des échéances à rembourser à la banque, nous l’avons meublé généralement avec gout (c’est la majorité de mes clients, ils meublent le logement comme si ils allaient y habiter et je suis d’accord avec eux car cette activité doit être réalisé par des gens honnêtes et non des marchands de sommeil) et fonction de cela il faut déterminer le LOYER ; la somme que vous avez estimé en contre partie de la jouissance du bien et d’une part de gain car je vous rappelle que votre investissement doit vous rapporter des bénéfices. Et la, la politique peut vous rattraper. En effet certaines lois ont été promulguées par le parlement majoritairement orienté d’une couleur politique. Reprenons la loi ALUR de 2014 qui a prévu que des décrets viendraient encadrer les loyers des résidences principales dans certaines zones urbaines. Biens sur on peut se dire que cela est bien que des gens en difficulté puissent accéder à des logements a des loyers qui ne sont pas soumis à la concurrence, comme le décret 2015-650 du 10 juin 2005, qui encadre les loyers en région parisienne et dans les zones dites « tendues », zones urbaines de plus de 50 000 habitants dans lesquelles l’offre de logement est insuffisante, les loyers des biens meublés comme des résidences principales pour les baux signés depuis le 1er aout 2015 sont soumis au dispositif d’encadrement des loyers dont ce dispositif se cumul avec la loi DUFLOT. Afin de déterminer le prix du loyer en meublé, vous prenez le loyer médian des logements nus pratiqué dans la zone urbaine que vous pouvez majorer de 20%, ensuite vous pouvez majorer ce montant de 11% afin d’obtenir le montant du loyer en meublé. La loi DUFLOT de 2012 impose que le loyer ne puisse être augmenté même entre 2 locataires que de l’évolution de l’indice IRL (indice de référence des loyers) défini par l’INSEE pour les biens situés en agglomération parisienne et dans 37 autres agglomérations régionales et Outre-mer ; sauf si vous effectué des travaux entre les 2 locations et si manifestement le loyer initial était sous-évalué. Il est néanmoins possible au bailleur de présenter un loyer supérieur à celui prévu par le législateur à son locataire si ce bien est exceptionnel comme bénéficiant d’une terrasse, d’un balcon ou d’un jardin. Le locataire dispose quand même de 3 mois après la signature du bail pour entamer une action en contestation du prix ; cette situation est souvent bloquante pour l’investisseur qui ne peut maitriser sa source de revenu.</w:t>
      </w:r>
    </w:p>
    <w:p>
      <w:pPr>
        <w:spacing w:before="0" w:after="180" w:line="264" w:lineRule="auto"/>
        <w:ind w:firstLine="340"/>
        <w:jc w:val="both"/>
      </w:pPr>
      <w:r>
        <w:rPr>
          <w:rFonts w:ascii="Cambria" w:hAnsi="Cambria"/>
          <w:b w:val="0"/>
          <w:i w:val="0"/>
          <w:color w:val="141A21"/>
          <w:sz w:val="22"/>
        </w:rPr>
        <w:t>Par contre l’indice de révision semble une protection normale. L’indice de révision du loyer peut être prévu dans le bail sinon le loyer restera au même montant pendant toute la durée du bail. L’indice permet un réajustement du loyer « contrôlé » par l’indice IRL chaque année soit à une date prévue dans le bail soit à la date d’anniversaire du bail.</w:t>
      </w:r>
    </w:p>
    <w:p>
      <w:pPr>
        <w:spacing w:before="0" w:after="180" w:line="264" w:lineRule="auto"/>
        <w:ind w:firstLine="340"/>
        <w:jc w:val="both"/>
      </w:pPr>
      <w:r>
        <w:rPr>
          <w:rFonts w:ascii="Cambria" w:hAnsi="Cambria"/>
          <w:b w:val="0"/>
          <w:i w:val="0"/>
          <w:color w:val="141A21"/>
          <w:sz w:val="22"/>
        </w:rPr>
        <w:t>Vous pouvez également demander un dépôt de garantie pour s’assurer de la solvabilité de votre locataire. Ce dépôt ne peut dépasser 1 mois de loyer si vous louer en nu et 2 mois si vous louez en meublé sauf si vous encaissé des loyers d’avance, dans ce cas le dépôt de garantie ne peut se cumuler à 2 mois de loyers déjà réglés.</w:t>
      </w:r>
    </w:p>
    <w:p>
      <w:pPr>
        <w:spacing w:before="0" w:after="180" w:line="264" w:lineRule="auto"/>
        <w:ind w:firstLine="340"/>
        <w:jc w:val="both"/>
      </w:pPr>
      <w:r>
        <w:rPr>
          <w:rFonts w:ascii="Cambria" w:hAnsi="Cambria"/>
          <w:b w:val="0"/>
          <w:i w:val="0"/>
          <w:color w:val="141A21"/>
          <w:sz w:val="22"/>
        </w:rPr>
        <w:t>Si vous avez réalisé votre projet d’investissement en louant meublé à des locataires qui n’y établissent pas leur résidences principales vous pouvez présenter librement les conditions du bail par écrit en précisant la durée du bail, de procéder à un état des lieux et de fournir en annexe la liste du mobilier et du matériel disponible dans le logement.</w:t>
      </w:r>
    </w:p>
    <w:p>
      <w:pPr>
        <w:spacing w:before="0" w:after="180" w:line="264" w:lineRule="auto"/>
        <w:ind w:firstLine="340"/>
        <w:jc w:val="both"/>
      </w:pPr>
      <w:r>
        <w:rPr>
          <w:rFonts w:ascii="Cambria" w:hAnsi="Cambria"/>
          <w:b w:val="0"/>
          <w:i w:val="0"/>
          <w:color w:val="141A21"/>
          <w:sz w:val="22"/>
        </w:rPr>
        <w:t>Le statut fiscal du loueur en meublé reste a ce jour une des dernière niche fiscale qui le rende intéressant ; mais jusqu’à quand ?</w:t>
      </w:r>
    </w:p>
    <w:p>
      <w:pPr>
        <w:spacing w:before="0" w:after="180" w:line="264" w:lineRule="auto"/>
        <w:ind w:firstLine="340"/>
        <w:jc w:val="both"/>
      </w:pPr>
      <w:r>
        <w:rPr>
          <w:rFonts w:ascii="Cambria" w:hAnsi="Cambria"/>
          <w:b w:val="0"/>
          <w:i w:val="0"/>
          <w:color w:val="141A21"/>
          <w:sz w:val="22"/>
        </w:rPr>
        <w:t>Ce statut ne tient qu’à la loi de finance, donc chaque année on peut se dire « jusqu’ici ça va ! » comme les habitants d’un immeuble de 50 étages qui entendait ce gars qui s’était lancé du toit de l’immeuble et qui répétait cette phrase en boucle. Le LMNP c’est pareil ce statut est trop soumis au aléa de la politique. Néanmoins je pense que nous sommes tranquille jusqu’en 2024 grâce aux jeux olympiques qui vont voir arriver des milliers de touristes et dont l’hôtellerie traditionnelle ne pourra faire face ; mais ne perdons pas de vu que ce statut fiscal peut être modifié d’une année sur l’autre alors que votre investissement est réalisé sur plusieurs années.</w:t>
      </w:r>
    </w:p>
    <w:p>
      <w:pPr>
        <w:spacing w:before="0" w:after="180" w:line="264" w:lineRule="auto"/>
        <w:ind w:firstLine="340"/>
        <w:jc w:val="both"/>
      </w:pPr>
      <w:r>
        <w:rPr>
          <w:rFonts w:ascii="Cambria" w:hAnsi="Cambria"/>
          <w:b w:val="0"/>
          <w:i w:val="0"/>
          <w:color w:val="141A21"/>
          <w:sz w:val="22"/>
        </w:rPr>
        <w:t>L’activité de LOUEUR EN MEUBLE peut également se dérouler en société.</w:t>
      </w:r>
    </w:p>
    <w:p>
      <w:pPr>
        <w:spacing w:before="0" w:after="180" w:line="264" w:lineRule="auto"/>
        <w:ind w:firstLine="340"/>
        <w:jc w:val="both"/>
      </w:pPr>
      <w:r>
        <w:rPr>
          <w:rFonts w:ascii="Cambria" w:hAnsi="Cambria"/>
          <w:b w:val="0"/>
          <w:i w:val="0"/>
          <w:color w:val="141A21"/>
          <w:sz w:val="22"/>
        </w:rPr>
        <w:t>Je ne maintiens pas que c’est la meilleure solution, surtout après avoir analysé plusieurs dizaine de cas avec mon ami François, mais je persiste à dire que cette activité si elle est réalisée dans un but de « professionnel » comme définie dans cet ouvrage, je pense que l’utilisation de son patrimoine immobilier en société permet de croitre son activité ou de l’intégrer dans d’autres projets véhiculés par une société holding. Les exemples de Romain CAILLET et de Sébastien ASCON que je citerai plus loin en sont de bons exemples ; je me permets de les citer car eux mêmes les cite en public.</w:t>
      </w:r>
    </w:p>
    <w:p>
      <w:pPr>
        <w:pStyle w:val="Heading3"/>
        <w:spacing w:before="400" w:after="100" w:line="276" w:lineRule="auto"/>
      </w:pPr>
      <w:r>
        <w:rPr>
          <w:rFonts w:ascii="Calibri" w:hAnsi="Calibri"/>
          <w:b/>
          <w:i w:val="0"/>
          <w:color w:val="141A21"/>
          <w:sz w:val="27"/>
        </w:rPr>
        <w:t>Les régimes d'imposition (micro et réel)</w:t>
      </w:r>
    </w:p>
    <w:p>
      <w:pPr>
        <w:spacing w:before="0" w:after="180" w:line="264" w:lineRule="auto"/>
        <w:jc w:val="both"/>
      </w:pPr>
      <w:r>
        <w:rPr>
          <w:rFonts w:ascii="Cambria" w:hAnsi="Cambria"/>
          <w:b w:val="0"/>
          <w:i w:val="0"/>
          <w:color w:val="141A21"/>
          <w:sz w:val="22"/>
        </w:rPr>
        <w:t>LMNP Réel</w:t>
      </w:r>
    </w:p>
    <w:p>
      <w:pPr>
        <w:spacing w:before="0" w:after="180" w:line="264" w:lineRule="auto"/>
        <w:ind w:firstLine="340"/>
        <w:jc w:val="both"/>
      </w:pPr>
      <w:r>
        <w:rPr>
          <w:rFonts w:ascii="Cambria" w:hAnsi="Cambria"/>
          <w:b w:val="0"/>
          <w:i w:val="0"/>
          <w:color w:val="141A21"/>
          <w:sz w:val="22"/>
        </w:rPr>
        <w:t>Différents régimes micro : 50% et classement en meublé de tourisme 71%</w:t>
      </w:r>
    </w:p>
    <w:p>
      <w:pPr>
        <w:spacing w:before="0" w:after="180" w:line="264" w:lineRule="auto"/>
        <w:ind w:firstLine="340"/>
        <w:jc w:val="both"/>
      </w:pPr>
      <w:r>
        <w:rPr>
          <w:rFonts w:ascii="Cambria" w:hAnsi="Cambria"/>
          <w:b w:val="0"/>
          <w:i w:val="0"/>
          <w:color w:val="141A21"/>
          <w:sz w:val="22"/>
        </w:rPr>
        <w:t>Les revenus du loueur en meublé professionnel ou non sont a rattaché a votre déclaration de revenus n° 2042 avec l’ensemble de tous vos autres revenus d’activité que ce soit les salaires, la retraite, les revenus mobiliers comme les dividendes, les revenus fonciers comme la location nu de biens immobiliers, les revenus des commerçants et artisans en BIC (bénéfices industriels et commerciaux) ou des professions libérales en BNC (bénéfices non commerciaux).</w:t>
      </w:r>
    </w:p>
    <w:p>
      <w:pPr>
        <w:spacing w:before="0" w:after="180" w:line="264" w:lineRule="auto"/>
        <w:ind w:firstLine="340"/>
        <w:jc w:val="both"/>
      </w:pPr>
      <w:r>
        <w:rPr>
          <w:rFonts w:ascii="Cambria" w:hAnsi="Cambria"/>
          <w:b w:val="0"/>
          <w:i w:val="0"/>
          <w:color w:val="141A21"/>
          <w:sz w:val="22"/>
        </w:rPr>
        <w:t>Petit focus sur la location meublée par un propriétaire d’une partie de sa résidence principale ou ses annexes qui peut être exonérée d’impôt ; dans ce cas le loyer doit être inférieur à 184€/m²/an pour des bâtiments situés en Ile de France et à 135€/m²/an ailleurs. Vous pouvez également faire de la location saisonnière dans votre résidence principale et être exonéré si vos locations ne dépassent pas 760€/an. Attention ces éléments peuvent changer d’une année sur l’autre il convient donc de se reporter aux informations fiscales sur le site « impots.gouv ;fr » . Un petit bonus de l’Administration est que si vous êtes exonéré d’IR vous le serez également pour la CFE, la contribution foncière des entreprises.</w:t>
      </w:r>
    </w:p>
    <w:p>
      <w:pPr>
        <w:spacing w:before="0" w:after="180" w:line="264" w:lineRule="auto"/>
        <w:ind w:firstLine="340"/>
        <w:jc w:val="both"/>
      </w:pPr>
      <w:r>
        <w:rPr>
          <w:rFonts w:ascii="Cambria" w:hAnsi="Cambria"/>
          <w:b w:val="0"/>
          <w:i w:val="0"/>
          <w:color w:val="141A21"/>
          <w:sz w:val="22"/>
        </w:rPr>
        <w:t>Pour les autres investisseurs plusieurs régimes s’ouvrent à eux :</w:t>
      </w:r>
    </w:p>
    <w:p>
      <w:pPr>
        <w:spacing w:before="0" w:after="180" w:line="264" w:lineRule="auto"/>
        <w:ind w:firstLine="340"/>
        <w:jc w:val="both"/>
      </w:pPr>
      <w:r>
        <w:rPr>
          <w:rFonts w:ascii="Cambria" w:hAnsi="Cambria"/>
          <w:b w:val="0"/>
          <w:i w:val="0"/>
          <w:color w:val="141A21"/>
          <w:sz w:val="22"/>
        </w:rPr>
        <w:t>Le régime des micro-entreprises :</w:t>
      </w:r>
    </w:p>
    <w:p>
      <w:pPr>
        <w:spacing w:before="0" w:after="180" w:line="264" w:lineRule="auto"/>
        <w:ind w:firstLine="340"/>
        <w:jc w:val="both"/>
      </w:pPr>
      <w:r>
        <w:rPr>
          <w:rFonts w:ascii="Cambria" w:hAnsi="Cambria"/>
          <w:b w:val="0"/>
          <w:i w:val="0"/>
          <w:color w:val="141A21"/>
          <w:sz w:val="22"/>
        </w:rPr>
        <w:t>Ce régime s’applique de droit si vos recettes ne dépassent pas un certain seuil, soit 33.200€ pour les LMNP et 82.800€ pour LMP non éligible au régime de l’auto-entrepreneur. A noter que si vous exercez une autre activité BIC en tant qu’artisans ou commerçants vous ne devez pas dépasser le seuil sur l’ensemble de ces 2 revenus.</w:t>
      </w:r>
    </w:p>
    <w:p>
      <w:pPr>
        <w:spacing w:before="0" w:after="180" w:line="264" w:lineRule="auto"/>
        <w:ind w:firstLine="340"/>
        <w:jc w:val="both"/>
      </w:pPr>
      <w:r>
        <w:rPr>
          <w:rFonts w:ascii="Cambria" w:hAnsi="Cambria"/>
          <w:b w:val="0"/>
          <w:i w:val="0"/>
          <w:color w:val="141A21"/>
          <w:sz w:val="22"/>
        </w:rPr>
        <w:t>Ce régime est très simple car en fait vous déclaré sur votre déclaration de revenus 2042 le montant des loyers encaissés et l’administration fiscale va vous déduire forfaitairement une partie de charge ; soit 50% ou 71% si vous êtes qualifié de loueur en meublé de tourisme. Pour ce dernier cas votre bien, y compris les gites ruraux, doit être déclaré en mairie et faire l’objet d’un classement par un organisme habilité.</w:t>
      </w:r>
    </w:p>
    <w:p>
      <w:pPr>
        <w:spacing w:before="0" w:after="180" w:line="264" w:lineRule="auto"/>
        <w:ind w:firstLine="340"/>
        <w:jc w:val="both"/>
      </w:pPr>
      <w:r>
        <w:rPr>
          <w:rFonts w:ascii="Cambria" w:hAnsi="Cambria"/>
          <w:b w:val="0"/>
          <w:i w:val="0"/>
          <w:color w:val="141A21"/>
          <w:sz w:val="22"/>
        </w:rPr>
        <w:t>Le régime des micro-entrepreneurs soumis aux prélèvements sociaux :</w:t>
      </w:r>
    </w:p>
    <w:p>
      <w:pPr>
        <w:spacing w:before="0" w:after="180" w:line="264" w:lineRule="auto"/>
        <w:ind w:firstLine="340"/>
        <w:jc w:val="both"/>
      </w:pPr>
      <w:r>
        <w:rPr>
          <w:rFonts w:ascii="Cambria" w:hAnsi="Cambria"/>
          <w:b w:val="0"/>
          <w:i w:val="0"/>
          <w:color w:val="141A21"/>
          <w:sz w:val="22"/>
        </w:rPr>
        <w:t>C’est un régime qui permet de déterminer la base imposable aux cotisations fiscales et sociales et de payer son impôt sur le revenu et ses cotisations sociales de façon forfaitaire.</w:t>
      </w:r>
    </w:p>
    <w:p>
      <w:pPr>
        <w:spacing w:before="0" w:after="180" w:line="264" w:lineRule="auto"/>
        <w:ind w:firstLine="340"/>
        <w:jc w:val="both"/>
      </w:pPr>
      <w:r>
        <w:rPr>
          <w:rFonts w:ascii="Cambria" w:hAnsi="Cambria"/>
          <w:b w:val="0"/>
          <w:i w:val="0"/>
          <w:color w:val="141A21"/>
          <w:sz w:val="22"/>
        </w:rPr>
        <w:t>Pour pouvoir en bénéficier il faut opter pour ce régime sous conditions que :</w:t>
      </w:r>
    </w:p>
    <w:p>
      <w:pPr>
        <w:spacing w:before="0" w:after="180" w:line="264" w:lineRule="auto"/>
        <w:ind w:firstLine="340"/>
        <w:jc w:val="both"/>
      </w:pPr>
      <w:r>
        <w:rPr>
          <w:rFonts w:ascii="Cambria" w:hAnsi="Cambria"/>
          <w:b w:val="0"/>
          <w:i w:val="0"/>
          <w:color w:val="141A21"/>
          <w:sz w:val="22"/>
        </w:rPr>
        <w:t>Les recettes de l’activité meublée soient inferieures aux seuils des micro-entreprises vu précédemment ;</w:t>
      </w:r>
    </w:p>
    <w:p>
      <w:pPr>
        <w:spacing w:before="0" w:after="180" w:line="264" w:lineRule="auto"/>
        <w:ind w:firstLine="340"/>
        <w:jc w:val="both"/>
      </w:pPr>
      <w:r>
        <w:rPr>
          <w:rFonts w:ascii="Cambria" w:hAnsi="Cambria"/>
          <w:b w:val="0"/>
          <w:i w:val="0"/>
          <w:color w:val="141A21"/>
          <w:sz w:val="22"/>
        </w:rPr>
        <w:t>Le revenu fiscal de référence du loueur pour l’avant dernière année doit être inférieur ou égal, pour un part de quotient familial, à la limite supérieure de la 2ème tranche d’imposition à l’IR de l’année précédente. Cette limite est majorée de 50% par ½ part supplémentaire ou de 25% par ¼ de part supplémentaire.</w:t>
      </w:r>
    </w:p>
    <w:p>
      <w:pPr>
        <w:spacing w:before="0" w:after="180" w:line="264" w:lineRule="auto"/>
        <w:ind w:firstLine="340"/>
        <w:jc w:val="both"/>
      </w:pPr>
      <w:r>
        <w:rPr>
          <w:rFonts w:ascii="Cambria" w:hAnsi="Cambria"/>
          <w:b w:val="0"/>
          <w:i w:val="0"/>
          <w:color w:val="141A21"/>
          <w:sz w:val="22"/>
        </w:rPr>
        <w:t>C’est simple non ? mais c’est toujours l’Administration qui gagne des sous car dès le 1er euro perçu elle collecte de l’impôt.</w:t>
      </w:r>
    </w:p>
    <w:p>
      <w:pPr>
        <w:spacing w:before="0" w:after="180" w:line="264" w:lineRule="auto"/>
        <w:ind w:firstLine="340"/>
        <w:jc w:val="both"/>
      </w:pPr>
      <w:r>
        <w:rPr>
          <w:rFonts w:ascii="Cambria" w:hAnsi="Cambria"/>
          <w:b w:val="0"/>
          <w:i w:val="0"/>
          <w:color w:val="141A21"/>
          <w:sz w:val="22"/>
        </w:rPr>
        <w:t>Pour le régime micro vous avez l’obligation de tenir un livre journal où vous noterez les recettes et les dépenses afin de pouvoir également y noter les achats d’immobilisations. Je ne peux que vous conseiller d’ouvrir un compte bancaire où vous y affecterez les recettes de tel lot en gestion et les dépenses affectées à ce lot. Certains de mes clients en LMNP ouvrent un compte bancaire par lot loué afin de pouvoir vérifier la rentabilité de tel ou tel lot. L’idée est bonne si vous ne payez pas trop cher les frais de banque mais attention a cette gestion quand vous passerez dans la cour des grands, c'est-à-dire dans le monde du REEL (voir après) et que vous devrez collaborer avec votre expert-comptable qui lui vous indiquera que plus il y a de comptes bancaires et plus il y a d’écritures à comptabiliser et que de ce fait plus il vous facture d’honoraires ; néanmoins c’est vrai aussi il n’a pas toujours tort.</w:t>
      </w:r>
    </w:p>
    <w:p>
      <w:pPr>
        <w:spacing w:before="0" w:after="180" w:line="264" w:lineRule="auto"/>
        <w:ind w:firstLine="340"/>
        <w:jc w:val="both"/>
      </w:pPr>
      <w:r>
        <w:rPr>
          <w:rFonts w:ascii="Cambria" w:hAnsi="Cambria"/>
          <w:b w:val="0"/>
          <w:i w:val="0"/>
          <w:color w:val="141A21"/>
          <w:sz w:val="22"/>
        </w:rPr>
        <w:t>Si vous voulez être imposé sur la VRAIE richesse créée par votre activité, il vous faut être imposé au régime du REEL. Vous pouvez y opter mêmes si les recettes sont inférieures aux seuils définis précédemment.</w:t>
      </w:r>
    </w:p>
    <w:p>
      <w:pPr>
        <w:spacing w:before="0" w:after="180" w:line="264" w:lineRule="auto"/>
        <w:ind w:firstLine="340"/>
        <w:jc w:val="both"/>
      </w:pPr>
      <w:r>
        <w:rPr>
          <w:rFonts w:ascii="Cambria" w:hAnsi="Cambria"/>
          <w:b w:val="0"/>
          <w:i w:val="0"/>
          <w:color w:val="141A21"/>
          <w:sz w:val="22"/>
        </w:rPr>
        <w:t>Ce régime permet de constater les recettes et surtout de déduire les charges REELLES que vous avez occasionné pour réaliser ces recettes et en plus déduire les amortissements relatifs aux biens immobiliers et aux meubles que vous donnez en location. En gros faire une vraie comptabilité ENFIN DU SERIEUX !!!</w:t>
      </w:r>
    </w:p>
    <w:p>
      <w:pPr>
        <w:spacing w:before="0" w:after="180" w:line="264" w:lineRule="auto"/>
        <w:ind w:firstLine="340"/>
        <w:jc w:val="both"/>
      </w:pPr>
      <w:r>
        <w:rPr>
          <w:rFonts w:ascii="Cambria" w:hAnsi="Cambria"/>
          <w:b w:val="0"/>
          <w:i w:val="0"/>
          <w:color w:val="141A21"/>
          <w:sz w:val="22"/>
        </w:rPr>
        <w:t>Le régime réel simplifié :</w:t>
      </w:r>
    </w:p>
    <w:p>
      <w:pPr>
        <w:spacing w:before="0" w:after="180" w:line="264" w:lineRule="auto"/>
        <w:ind w:firstLine="340"/>
        <w:jc w:val="both"/>
      </w:pPr>
      <w:r>
        <w:rPr>
          <w:rFonts w:ascii="Cambria" w:hAnsi="Cambria"/>
          <w:b w:val="0"/>
          <w:i w:val="0"/>
          <w:color w:val="141A21"/>
          <w:sz w:val="22"/>
        </w:rPr>
        <w:t>Déjà ce régime devient de droit lorsque vous dépassez les seuils de la micro-entreprise mais que vous ne dépassez pas ceux du régime réel simplifié soit pour les activités suivantes il faut que vos recettes hors taxes de l’année soient comprises, actuellement, entre :</w:t>
      </w:r>
    </w:p>
    <w:p>
      <w:pPr>
        <w:spacing w:before="0" w:after="180" w:line="264" w:lineRule="auto"/>
        <w:ind w:firstLine="340"/>
        <w:jc w:val="both"/>
      </w:pPr>
      <w:r>
        <w:rPr>
          <w:rFonts w:ascii="Cambria" w:hAnsi="Cambria"/>
          <w:b w:val="0"/>
          <w:i w:val="0"/>
          <w:color w:val="141A21"/>
          <w:sz w:val="22"/>
        </w:rPr>
        <w:t>82.800€ et 789.000€ pour la location en meublé de tourisme ;</w:t>
      </w:r>
    </w:p>
    <w:p>
      <w:pPr>
        <w:spacing w:before="0" w:after="180" w:line="264" w:lineRule="auto"/>
        <w:ind w:firstLine="340"/>
        <w:jc w:val="both"/>
      </w:pPr>
      <w:r>
        <w:rPr>
          <w:rFonts w:ascii="Cambria" w:hAnsi="Cambria"/>
          <w:b w:val="0"/>
          <w:i w:val="0"/>
          <w:color w:val="141A21"/>
          <w:sz w:val="22"/>
        </w:rPr>
        <w:t>33.200€ et 238.000€ pour les autres</w:t>
      </w:r>
    </w:p>
    <w:p>
      <w:pPr>
        <w:spacing w:before="0" w:after="180" w:line="264" w:lineRule="auto"/>
        <w:ind w:firstLine="340"/>
        <w:jc w:val="both"/>
      </w:pPr>
      <w:r>
        <w:rPr>
          <w:rFonts w:ascii="Cambria" w:hAnsi="Cambria"/>
          <w:b w:val="0"/>
          <w:i w:val="0"/>
          <w:color w:val="141A21"/>
          <w:sz w:val="22"/>
        </w:rPr>
        <w:t>Vous établirez une liasse fiscale comprenant des imprimés n° 2031 aussi n° 2033 et suivants</w:t>
      </w:r>
    </w:p>
    <w:p>
      <w:pPr>
        <w:spacing w:before="0" w:after="180" w:line="264" w:lineRule="auto"/>
        <w:ind w:firstLine="340"/>
        <w:jc w:val="both"/>
      </w:pPr>
      <w:r>
        <w:rPr>
          <w:rFonts w:ascii="Cambria" w:hAnsi="Cambria"/>
          <w:b w:val="0"/>
          <w:i w:val="0"/>
          <w:color w:val="141A21"/>
          <w:sz w:val="22"/>
        </w:rPr>
        <w:t>Le régime du réel normal :</w:t>
      </w:r>
    </w:p>
    <w:p>
      <w:pPr>
        <w:spacing w:before="0" w:after="180" w:line="264" w:lineRule="auto"/>
        <w:ind w:firstLine="340"/>
        <w:jc w:val="both"/>
      </w:pPr>
      <w:r>
        <w:rPr>
          <w:rFonts w:ascii="Cambria" w:hAnsi="Cambria"/>
          <w:b w:val="0"/>
          <w:i w:val="0"/>
          <w:color w:val="141A21"/>
          <w:sz w:val="22"/>
        </w:rPr>
        <w:t>Régime de droit dès que vous dépassez les seuils du régime du réel simplifié.</w:t>
      </w:r>
    </w:p>
    <w:p>
      <w:pPr>
        <w:spacing w:before="0" w:after="180" w:line="264" w:lineRule="auto"/>
        <w:ind w:firstLine="340"/>
        <w:jc w:val="both"/>
      </w:pPr>
      <w:r>
        <w:rPr>
          <w:rFonts w:ascii="Cambria" w:hAnsi="Cambria"/>
          <w:b w:val="0"/>
          <w:i w:val="0"/>
          <w:color w:val="141A21"/>
          <w:sz w:val="22"/>
        </w:rPr>
        <w:t>La comptabilité est plus précise car la liasse fiscale est plus détaillée donc la ventilation des opérations (produits ou charges) doit être plus analysée.</w:t>
      </w:r>
    </w:p>
    <w:p>
      <w:pPr>
        <w:spacing w:before="0" w:after="180" w:line="264" w:lineRule="auto"/>
        <w:ind w:firstLine="340"/>
        <w:jc w:val="both"/>
      </w:pPr>
      <w:r>
        <w:rPr>
          <w:rFonts w:ascii="Cambria" w:hAnsi="Cambria"/>
          <w:b w:val="0"/>
          <w:i w:val="0"/>
          <w:color w:val="141A21"/>
          <w:sz w:val="22"/>
        </w:rPr>
        <w:t>Vous établirez une liasse fiscale comprenant des imprimés n° 2031 aussi n° 2050 et suivants</w:t>
      </w:r>
    </w:p>
    <w:p>
      <w:pPr>
        <w:spacing w:before="0" w:after="180" w:line="264" w:lineRule="auto"/>
        <w:ind w:firstLine="340"/>
        <w:jc w:val="both"/>
      </w:pPr>
      <w:r>
        <w:rPr>
          <w:rFonts w:ascii="Cambria" w:hAnsi="Cambria"/>
          <w:b w:val="0"/>
          <w:i w:val="0"/>
          <w:color w:val="141A21"/>
          <w:sz w:val="22"/>
        </w:rPr>
        <w:t>Arrivé à ce stade je ne peux que vous conseiller de vous faire assister d’un expert-comptable qui vous aidera dans la justification des opérations et vous accompagnera dans votre vie d’ENTREPRENEUR.</w:t>
      </w:r>
    </w:p>
    <w:p>
      <w:pPr>
        <w:spacing w:before="0" w:after="180" w:line="264" w:lineRule="auto"/>
        <w:ind w:firstLine="340"/>
        <w:jc w:val="both"/>
      </w:pPr>
      <w:r>
        <w:rPr>
          <w:rFonts w:ascii="Cambria" w:hAnsi="Cambria"/>
          <w:b w:val="0"/>
          <w:i w:val="0"/>
          <w:color w:val="141A21"/>
          <w:sz w:val="22"/>
        </w:rPr>
        <w:t>N’oubliez pas d’adhérer à un centre de gestion agréé, ce dernier vous permettra de limiter votre imposition.</w:t>
      </w:r>
    </w:p>
    <w:p>
      <w:pPr>
        <w:spacing w:before="0" w:after="180" w:line="264" w:lineRule="auto"/>
        <w:ind w:firstLine="340"/>
        <w:jc w:val="both"/>
      </w:pPr>
      <w:r>
        <w:rPr>
          <w:rFonts w:ascii="Cambria" w:hAnsi="Cambria"/>
          <w:b w:val="0"/>
          <w:i w:val="0"/>
          <w:color w:val="141A21"/>
          <w:sz w:val="22"/>
        </w:rPr>
        <w:t>Petit focus sur les déficits en régime réel :</w:t>
      </w:r>
    </w:p>
    <w:p>
      <w:pPr>
        <w:spacing w:before="0" w:after="180" w:line="264" w:lineRule="auto"/>
        <w:ind w:firstLine="340"/>
        <w:jc w:val="both"/>
      </w:pPr>
      <w:r>
        <w:rPr>
          <w:rFonts w:ascii="Cambria" w:hAnsi="Cambria"/>
          <w:b w:val="0"/>
          <w:i w:val="0"/>
          <w:color w:val="141A21"/>
          <w:sz w:val="22"/>
        </w:rPr>
        <w:t>La plupart du temps les premières années de LMNP ou LMP sont en déficit fiscal dû à la comptabilisation des amortissements. L’application de l’article 39 C II du code général des impôts indique que les amortissements qui rendent une activité de loueur en meublé déficitaire doivent être réintégrés et seront déductibles lorsque l’activité de location meublée ou des plus-values dégagées dans le cadre de cette activité le permettra et ce sans limitation dans le temps.</w:t>
      </w:r>
    </w:p>
    <w:p>
      <w:pPr>
        <w:spacing w:before="0" w:after="180" w:line="264" w:lineRule="auto"/>
        <w:ind w:firstLine="340"/>
        <w:jc w:val="both"/>
      </w:pPr>
      <w:r>
        <w:rPr>
          <w:rFonts w:ascii="Cambria" w:hAnsi="Cambria"/>
          <w:b w:val="0"/>
          <w:i w:val="0"/>
          <w:color w:val="141A21"/>
          <w:sz w:val="22"/>
        </w:rPr>
        <w:t>Néanmoins une distinction s’opère entre les 2 régimes :</w:t>
      </w:r>
    </w:p>
    <w:p>
      <w:pPr>
        <w:spacing w:before="0" w:after="180" w:line="264" w:lineRule="auto"/>
        <w:ind w:firstLine="340"/>
        <w:jc w:val="both"/>
      </w:pPr>
      <w:r>
        <w:rPr>
          <w:rFonts w:ascii="Cambria" w:hAnsi="Cambria"/>
          <w:b w:val="0"/>
          <w:i w:val="0"/>
          <w:color w:val="141A21"/>
          <w:sz w:val="22"/>
        </w:rPr>
        <w:t>Pour le LMP, le déficit fiscal, donc retraité, peut s’imputer sur d’autres revenus du contribuable ;</w:t>
      </w:r>
    </w:p>
    <w:p>
      <w:pPr>
        <w:spacing w:before="0" w:after="180" w:line="264" w:lineRule="auto"/>
        <w:ind w:firstLine="340"/>
        <w:jc w:val="both"/>
      </w:pPr>
      <w:r>
        <w:rPr>
          <w:rFonts w:ascii="Cambria" w:hAnsi="Cambria"/>
          <w:b w:val="0"/>
          <w:i w:val="0"/>
          <w:color w:val="141A21"/>
          <w:sz w:val="22"/>
        </w:rPr>
        <w:t>Pour le LMNP, le déficit fiscal, donc retraité, s’imputera sur les bénéfices ultérieurs de LMNP pendant les 10 années suivants la réalisation du déficit déterminé.</w:t>
      </w:r>
    </w:p>
    <w:p>
      <w:pPr>
        <w:pStyle w:val="Heading3"/>
        <w:spacing w:before="400" w:after="100" w:line="276" w:lineRule="auto"/>
      </w:pPr>
      <w:r>
        <w:rPr>
          <w:rFonts w:ascii="Calibri" w:hAnsi="Calibri"/>
          <w:b/>
          <w:i w:val="0"/>
          <w:color w:val="141A21"/>
          <w:sz w:val="27"/>
        </w:rPr>
        <w:t>Le statut social du loueur en meublé</w:t>
      </w:r>
    </w:p>
    <w:p>
      <w:pPr>
        <w:spacing w:before="0" w:after="180" w:line="264" w:lineRule="auto"/>
        <w:jc w:val="both"/>
      </w:pPr>
      <w:r>
        <w:rPr>
          <w:rFonts w:ascii="Cambria" w:hAnsi="Cambria"/>
          <w:b w:val="0"/>
          <w:i w:val="0"/>
          <w:color w:val="141A21"/>
          <w:sz w:val="22"/>
        </w:rPr>
        <w:t>Nous ne pouvons pas oublier de parler du statut SOCIAL du loueur en meublé puisque les revenus sont également imposés aux prélèvements sociaux qui sont soient des cotisations sociales qui donnent droit à des prestations maladie, retraite ou allocations familiales, soient des contributions sociales qui ne donnent aucun droit. Cela dépend de votre activité :</w:t>
      </w:r>
    </w:p>
    <w:p>
      <w:pPr>
        <w:spacing w:before="0" w:after="180" w:line="264" w:lineRule="auto"/>
        <w:ind w:firstLine="340"/>
        <w:jc w:val="both"/>
      </w:pPr>
      <w:r>
        <w:rPr>
          <w:rFonts w:ascii="Cambria" w:hAnsi="Cambria"/>
          <w:b w:val="0"/>
          <w:i w:val="0"/>
          <w:color w:val="141A21"/>
          <w:sz w:val="22"/>
        </w:rPr>
        <w:t>LMP, activité professionnelle :</w:t>
      </w:r>
    </w:p>
    <w:p>
      <w:pPr>
        <w:spacing w:before="0" w:after="180" w:line="264" w:lineRule="auto"/>
        <w:ind w:firstLine="340"/>
        <w:jc w:val="both"/>
      </w:pPr>
      <w:r>
        <w:rPr>
          <w:rFonts w:ascii="Cambria" w:hAnsi="Cambria"/>
          <w:b w:val="0"/>
          <w:i w:val="0"/>
          <w:color w:val="141A21"/>
          <w:sz w:val="22"/>
        </w:rPr>
        <w:t>Comme l’indique l’article L 613-1 du code de la sécurité sociale « sont obligatoirement affiliés au régime d’assurance maladie et d’assurance maternité des travailleurs indépendants des professions non agricole</w:t>
      </w:r>
    </w:p>
    <w:p>
      <w:pPr>
        <w:spacing w:before="0" w:after="180" w:line="264" w:lineRule="auto"/>
        <w:ind w:firstLine="340"/>
        <w:jc w:val="both"/>
      </w:pPr>
      <w:r>
        <w:rPr>
          <w:rFonts w:ascii="Cambria" w:hAnsi="Cambria"/>
          <w:b w:val="0"/>
          <w:i w:val="0"/>
          <w:color w:val="141A21"/>
          <w:sz w:val="22"/>
        </w:rPr>
        <w:t>…</w:t>
      </w:r>
    </w:p>
    <w:p>
      <w:pPr>
        <w:spacing w:before="0" w:after="180" w:line="264" w:lineRule="auto"/>
        <w:ind w:firstLine="340"/>
        <w:jc w:val="both"/>
      </w:pPr>
      <w:r>
        <w:rPr>
          <w:rFonts w:ascii="Cambria" w:hAnsi="Cambria"/>
          <w:b w:val="0"/>
          <w:i w:val="0"/>
          <w:color w:val="141A21"/>
          <w:sz w:val="22"/>
        </w:rPr>
        <w:t>Les personnes exerçant une activité de location directe ou indirecte de locaux d’habitation meublés ou destinés à être loués meublés à titre professionnels au sens du 2 du IV de l’article 155 du code général des impôts, à l’exclusion de celles relevant de l’article L. 722-1 du code rural et de la pêche maritime. »</w:t>
      </w:r>
    </w:p>
    <w:p>
      <w:pPr>
        <w:spacing w:before="0" w:after="180" w:line="264" w:lineRule="auto"/>
        <w:ind w:firstLine="340"/>
        <w:jc w:val="both"/>
      </w:pPr>
      <w:r>
        <w:rPr>
          <w:rFonts w:ascii="Cambria" w:hAnsi="Cambria"/>
          <w:b w:val="0"/>
          <w:i w:val="0"/>
          <w:color w:val="141A21"/>
          <w:sz w:val="22"/>
        </w:rPr>
        <w:t>Cette affiliation au régime social des indépendants (RSI) s’effectue automatiquement lors de l’inscription de l(‘activité au greffe du tribunal de commerce.</w:t>
      </w:r>
    </w:p>
    <w:p>
      <w:pPr>
        <w:spacing w:before="0" w:after="180" w:line="264" w:lineRule="auto"/>
        <w:ind w:firstLine="340"/>
        <w:jc w:val="both"/>
      </w:pPr>
      <w:r>
        <w:rPr>
          <w:rFonts w:ascii="Cambria" w:hAnsi="Cambria"/>
          <w:b w:val="0"/>
          <w:i w:val="0"/>
          <w:color w:val="141A21"/>
          <w:sz w:val="22"/>
        </w:rPr>
        <w:t>Les cotisations sociales se calculent sur le résultat fiscal de l’activité retraité des produits exonérés prévus par le régime fiscal LMP comme la plus-value professionnelle à court terme.</w:t>
      </w:r>
    </w:p>
    <w:p>
      <w:pPr>
        <w:spacing w:before="0" w:after="180" w:line="264" w:lineRule="auto"/>
        <w:ind w:firstLine="340"/>
        <w:jc w:val="both"/>
      </w:pPr>
      <w:r>
        <w:rPr>
          <w:rFonts w:ascii="Cambria" w:hAnsi="Cambria"/>
          <w:b w:val="0"/>
          <w:i w:val="0"/>
          <w:color w:val="141A21"/>
          <w:sz w:val="22"/>
        </w:rPr>
        <w:t>Si le LMP a choisi le régime de la micro entreprise, il sera imposé sur la base des recettes de locations meublées de tourisme au taux de 13,4% et de 23,1% pour les autres locations meublées.</w:t>
      </w:r>
    </w:p>
    <w:p>
      <w:pPr>
        <w:spacing w:before="0" w:after="180" w:line="264" w:lineRule="auto"/>
        <w:ind w:firstLine="340"/>
        <w:jc w:val="both"/>
      </w:pPr>
      <w:r>
        <w:rPr>
          <w:rFonts w:ascii="Cambria" w:hAnsi="Cambria"/>
          <w:b w:val="0"/>
          <w:i w:val="0"/>
          <w:color w:val="141A21"/>
          <w:sz w:val="22"/>
        </w:rPr>
        <w:t>Sinon il commence a s’arracher les cheveux (c’est pour cela que je n’aime pas ce régime car j’ai déjà plus beaucoup de cheveux) car les cotisations du RSI se calculent sur une base dont ces propres cotisations sociales sont déductibles de la base imposable. Vous avez tout compris ? en fait c’est un calcul dit « en dedans », car il faut poser une équation avec comme inconnu le montant des cotisations sociales RSI pour re-déterminer la base imposable.</w:t>
      </w:r>
    </w:p>
    <w:p>
      <w:pPr>
        <w:spacing w:before="0" w:after="180" w:line="264" w:lineRule="auto"/>
        <w:ind w:firstLine="340"/>
        <w:jc w:val="both"/>
      </w:pPr>
      <w:r>
        <w:rPr>
          <w:rFonts w:ascii="Cambria" w:hAnsi="Cambria"/>
          <w:b w:val="0"/>
          <w:i w:val="0"/>
          <w:color w:val="141A21"/>
          <w:sz w:val="22"/>
        </w:rPr>
        <w:t>Pas de panique il existe des tableaux de conversion vous le permettant et sinon voyez avec votre expert-comptable.</w:t>
      </w:r>
    </w:p>
    <w:p>
      <w:pPr>
        <w:spacing w:before="0" w:after="180" w:line="264" w:lineRule="auto"/>
        <w:ind w:firstLine="340"/>
        <w:jc w:val="both"/>
      </w:pPr>
      <w:r>
        <w:rPr>
          <w:rFonts w:ascii="Cambria" w:hAnsi="Cambria"/>
          <w:b w:val="0"/>
          <w:i w:val="0"/>
          <w:color w:val="141A21"/>
          <w:sz w:val="22"/>
        </w:rPr>
        <w:t>Si j’ai indiqué que je n’aimais pas ce régime c’est parce le rapport prix/prestations est très faible. Ce régime couvre l’assurance maladie et maternité, les allocations familiales, l’assurance invalidité décès et l’assurance vieillesse mais de base. Alors certes pour certains ce régime est très intéressant car il coute moins cher que le régime général des salariés et que ces personnes partent d’un principe que l’économie des cotisations RSI par rapport au régime général leur permet de plus investir dans leur boite ou dans l’immobilier et que c’est ce patrimoine qui leur rapportera assez de trésorerie pour ce couvrir en cas de coup dur. J’ai 2 amis associés dans ce cas, connus dans le monde de l’immobilier haut rendement, avec qui nous avons cette discussion et pour laquelle nous terminons notre conversation sans avoir réussi a convaincre les autres. En fait c’est normal car la philosophie est différente et chacun dans son esprit nous construisions notre ENTERPRISE différemment. Je préfère « cotiser » pour une mutuelle et une prévoyance intéressante car cette décision ne m’implique pas que moi mais ma famille toute entière. Le fait de savoir qu’un de vos enfants peut développera une maladie grave ou que tout bonnement vous avez comme moi un fils « cascadeur » qui vous emmène régulièrement aux urgences, vous ne vous posez pas de questions. Mais je comprends Mickael et manuel mes 2 amis de discussion que le RSI est intéressant si on ne veut pas compter sur le régime « solidaire » ; je n’ai pas d’arrêté sur ce point.</w:t>
      </w:r>
    </w:p>
    <w:p>
      <w:pPr>
        <w:spacing w:before="0" w:after="180" w:line="264" w:lineRule="auto"/>
        <w:ind w:firstLine="340"/>
        <w:jc w:val="both"/>
      </w:pPr>
      <w:r>
        <w:rPr>
          <w:rFonts w:ascii="Cambria" w:hAnsi="Cambria"/>
          <w:b w:val="0"/>
          <w:i w:val="0"/>
          <w:color w:val="141A21"/>
          <w:sz w:val="22"/>
        </w:rPr>
        <w:t>Notez que les agriculteurs qui exercent une activité de location meublée sur le site de leurs exploitations sont assujettis à la mutualité sociale agricole (MSA) comme leurs autres revenus.</w:t>
      </w:r>
    </w:p>
    <w:p>
      <w:pPr>
        <w:spacing w:before="0" w:after="180" w:line="264" w:lineRule="auto"/>
        <w:ind w:firstLine="340"/>
        <w:jc w:val="both"/>
      </w:pPr>
      <w:r>
        <w:rPr>
          <w:rFonts w:ascii="Cambria" w:hAnsi="Cambria"/>
          <w:b w:val="0"/>
          <w:i w:val="0"/>
          <w:color w:val="141A21"/>
          <w:sz w:val="22"/>
        </w:rPr>
        <w:t>Vous serez également soumis au RSI si vous exercé votre activité immobilière en société et que vous êtes dirigeant de votre société soit parce que vous êtes majoritaire de votre SARL/EURL ou parce que vous êtes associé d’une société en nom collectif (SNC).</w:t>
      </w:r>
    </w:p>
    <w:p>
      <w:pPr>
        <w:spacing w:before="0" w:after="180" w:line="264" w:lineRule="auto"/>
        <w:ind w:firstLine="340"/>
        <w:jc w:val="both"/>
      </w:pPr>
      <w:r>
        <w:rPr>
          <w:rFonts w:ascii="Cambria" w:hAnsi="Cambria"/>
          <w:b w:val="0"/>
          <w:i w:val="0"/>
          <w:color w:val="141A21"/>
          <w:sz w:val="22"/>
        </w:rPr>
        <w:t>LMNP, activité non professionnelle sans location saisonnière :</w:t>
      </w:r>
    </w:p>
    <w:p>
      <w:pPr>
        <w:spacing w:before="0" w:after="180" w:line="264" w:lineRule="auto"/>
        <w:ind w:firstLine="340"/>
        <w:jc w:val="both"/>
      </w:pPr>
      <w:r>
        <w:rPr>
          <w:rFonts w:ascii="Cambria" w:hAnsi="Cambria"/>
          <w:b w:val="0"/>
          <w:i w:val="0"/>
          <w:color w:val="141A21"/>
          <w:sz w:val="22"/>
        </w:rPr>
        <w:t>Le RSI ne s’applique pas dans votre activité si vos recettes sont inférieures à 23.000€ par foyer fiscal, mais supportent les contributions sociales au taux fixe de 17,2%. La base imposable n’est pas retraitée des plus-values exonérées à la différence des LMP vu plus haut. Par contre cette contribution ne permet aucune protection sociale.</w:t>
      </w:r>
    </w:p>
    <w:p>
      <w:pPr>
        <w:spacing w:before="0" w:after="180" w:line="264" w:lineRule="auto"/>
        <w:ind w:firstLine="340"/>
        <w:jc w:val="both"/>
      </w:pPr>
      <w:r>
        <w:rPr>
          <w:rFonts w:ascii="Cambria" w:hAnsi="Cambria"/>
          <w:b w:val="0"/>
          <w:i w:val="0"/>
          <w:color w:val="141A21"/>
          <w:sz w:val="22"/>
        </w:rPr>
        <w:t>LMNP, activité non professionnelle avec location saisonnière :</w:t>
      </w:r>
    </w:p>
    <w:p>
      <w:pPr>
        <w:spacing w:before="0" w:after="180" w:line="264" w:lineRule="auto"/>
        <w:ind w:firstLine="340"/>
        <w:jc w:val="both"/>
      </w:pPr>
      <w:r>
        <w:rPr>
          <w:rFonts w:ascii="Cambria" w:hAnsi="Cambria"/>
          <w:b w:val="0"/>
          <w:i w:val="0"/>
          <w:color w:val="141A21"/>
          <w:sz w:val="22"/>
        </w:rPr>
        <w:t>Depuis le 1er janvier 2017, le RSI s’applique à votre activité si vos locations sont destinées à une clientèle y effectuant un séjour à la journée, à la semaine ou au mois et n’y élisant pas son domicile et que ces recettes dépassent 23.000 € pour le foyer fiscal. Vous pouvez opter à la création de votre activité, pour le régime général de la Sécurité sociale, dans certains cas, et de ce fait les cotisations sont calculées sur une base des recettes annuelles diminuées d’un abattement de 60% pour les loueurs meublés classiques et 87% pour les loueurs meublés ayant obtenu leur classement dans la catégorie « tourisme ». Cette option étant récente, je ne peux soutenir si cette option est intéressante ou pas, car comme souvent en droit fiscal il reste des zones d’ombre sur la détermination de l’assiette des cotisations essentiellement dans le cas de plus-values.</w:t>
      </w:r>
    </w:p>
    <w:p>
      <w:pPr>
        <w:spacing w:before="0" w:after="180" w:line="264" w:lineRule="auto"/>
        <w:ind w:firstLine="340"/>
        <w:jc w:val="both"/>
      </w:pPr>
      <w:r>
        <w:rPr>
          <w:rFonts w:ascii="Cambria" w:hAnsi="Cambria"/>
          <w:b w:val="0"/>
          <w:i w:val="0"/>
          <w:color w:val="141A21"/>
          <w:sz w:val="22"/>
        </w:rPr>
        <w:t>Néanmoins et encore une fois je ne peux que préconiser le régime du réel pour les Loueurs en Meublés dès que vous commencez à avoir plusieurs biens immobiliers en exploitation et surtout lorsque vous souhaitez « jouer » avec les options sociales ou fiscales ; pensez à bien vous entourer de partenaires surtout dans ce cas de bien sélectionner votre expert-comptable.</w:t>
      </w:r>
    </w:p>
    <w:p>
      <w:r>
        <w:br w:type="page"/>
      </w:r>
    </w:p>
    <w:p>
      <w:pPr>
        <w:pStyle w:val="Heading2"/>
        <w:spacing w:before="240" w:after="200" w:line="276" w:lineRule="auto"/>
      </w:pPr>
      <w:r>
        <w:rPr>
          <w:rFonts w:ascii="Calibri" w:hAnsi="Calibri"/>
          <w:b/>
          <w:i w:val="0"/>
          <w:color w:val="B05A3C"/>
          <w:sz w:val="36"/>
        </w:rPr>
        <w:t>Chapitre 8 — L'imposition de la plus-value immobilière</w:t>
      </w:r>
    </w:p>
    <w:p>
      <w:pPr>
        <w:spacing w:before="0" w:after="180" w:line="264" w:lineRule="auto"/>
        <w:jc w:val="both"/>
      </w:pPr>
      <w:r>
        <w:rPr>
          <w:rFonts w:ascii="Cambria" w:hAnsi="Cambria"/>
          <w:b w:val="0"/>
          <w:i w:val="0"/>
          <w:color w:val="141A21"/>
          <w:sz w:val="22"/>
        </w:rPr>
        <w:t>Les plus-values sont des revenus générés par des cessions de biens durables immobiliers mais également mobiliers comme du matériel. Elles se déterminent plus généralement entre le prix de vente auquel au retire le prix d’achat. Dans certains cas les amortissements pratiqués au cours des exercices de l’activité professionnels peuvent entrés en jeux.</w:t>
      </w:r>
    </w:p>
    <w:p>
      <w:pPr>
        <w:pStyle w:val="Heading3"/>
        <w:spacing w:before="400" w:after="100" w:line="276" w:lineRule="auto"/>
      </w:pPr>
      <w:r>
        <w:rPr>
          <w:rFonts w:ascii="Calibri" w:hAnsi="Calibri"/>
          <w:b/>
          <w:i w:val="0"/>
          <w:color w:val="141A21"/>
          <w:sz w:val="27"/>
        </w:rPr>
        <w:t>Les plus-values professionnelles (le LMP)</w:t>
      </w:r>
    </w:p>
    <w:p>
      <w:pPr>
        <w:spacing w:before="0" w:after="180" w:line="264" w:lineRule="auto"/>
        <w:jc w:val="both"/>
      </w:pPr>
      <w:r>
        <w:rPr>
          <w:rFonts w:ascii="Cambria" w:hAnsi="Cambria"/>
          <w:b w:val="0"/>
          <w:i w:val="0"/>
          <w:color w:val="141A21"/>
          <w:sz w:val="22"/>
        </w:rPr>
        <w:t>Cas des LMP : ils relèvent du régime des plus-values professionnelles. Ces plus-values se calculent et sont taxées lors de l’établissement de la déclaration fiscale annuelle pour laquelle le bien a été cédé. Plusieurs cas peuvent se présenter :</w:t>
      </w:r>
    </w:p>
    <w:p>
      <w:pPr>
        <w:spacing w:before="0" w:after="180" w:line="264" w:lineRule="auto"/>
        <w:ind w:firstLine="340"/>
        <w:jc w:val="both"/>
      </w:pPr>
      <w:r>
        <w:rPr>
          <w:rFonts w:ascii="Cambria" w:hAnsi="Cambria"/>
          <w:b w:val="0"/>
          <w:i w:val="0"/>
          <w:color w:val="141A21"/>
          <w:sz w:val="22"/>
        </w:rPr>
        <w:t>Le plus courant est que le bien soit sorti de l’actif du bilan du professionnel dans le cas d’une vente. Une plus-value professionnelle est calculée et imposer au titre de l’exercice auquel la cession a été constatée. A noter que cette plus-value peut être exonérée dans certains cas que nous verrons plus bas. Il convient de stipuler qu’une plus-value doit être déterminée dans tous les cas ou le bien sort du patrimoine du Loueur en Meublé Professionnel comme lors d’une donation ou d’une succession ;</w:t>
      </w:r>
    </w:p>
    <w:p>
      <w:pPr>
        <w:spacing w:before="0" w:after="180" w:line="264" w:lineRule="auto"/>
        <w:ind w:firstLine="340"/>
        <w:jc w:val="both"/>
      </w:pPr>
      <w:r>
        <w:rPr>
          <w:rFonts w:ascii="Cambria" w:hAnsi="Cambria"/>
          <w:b w:val="0"/>
          <w:i w:val="0"/>
          <w:color w:val="141A21"/>
          <w:sz w:val="22"/>
        </w:rPr>
        <w:t>Mais le bien peut aussi rester inscrit au bilan si le propriétaire décide de ne plus le louer en meublé mais en nu. Il faudra dans ce cas que les charges et les produits afférents à ce bien soient retraités dans la comptabilité afin qu’ils ne rentrent pas en compte dans la détermination du résultat fiscal BIC. Ne pas oublier au passage que de ce fait le propriétaire devra déclarer dans sa déclaration de revenu personnelle cette situation comme nous l’avons vu précédemment. La plus-value professionnelle sur ce bien ne sera calculée que lorsque ce bien sera sorti de l’actif. Il conviendra à cette occasion de calculer la plus-value professionnelle pour la période d’exploitation du bien en professionnel soit de l’inscription du bien à l’actif jusqu’à la date à laquelle ce bien n’était plus exploité en meublé. L’autre période soit celle de l’arrêt de location en meublé jusqu’à la sortie de l’actif verra le calcul de la plus-value soumise au barème des plus-values des particulier que nous verront ensuite.</w:t>
      </w:r>
    </w:p>
    <w:p>
      <w:pPr>
        <w:spacing w:before="0" w:after="180" w:line="264" w:lineRule="auto"/>
        <w:ind w:firstLine="340"/>
        <w:jc w:val="both"/>
      </w:pPr>
      <w:r>
        <w:rPr>
          <w:rFonts w:ascii="Cambria" w:hAnsi="Cambria"/>
          <w:b w:val="0"/>
          <w:i w:val="0"/>
          <w:color w:val="141A21"/>
          <w:sz w:val="22"/>
        </w:rPr>
        <w:t>Les plus values professionnelles peuvent être exonérées en application de l’article 151 septies du CGI, qui prévoit une exonération total dans le cas ou le loueur en meublé professionnel exploite cette activité depuis plus de 5 ans à la date de la clôture du bilan constatant la cession du bien et ne pas générer plus de 90.000€ de recettes annuelles HT en moyenne sur les 2 derniers exercices clôturés. L’exonération ne sera que partielle si les recettes dépassent 90K€ mais sont inférieurs à 126K€.</w:t>
      </w:r>
    </w:p>
    <w:p>
      <w:pPr>
        <w:spacing w:before="0" w:after="180" w:line="264" w:lineRule="auto"/>
        <w:ind w:firstLine="340"/>
        <w:jc w:val="both"/>
      </w:pPr>
      <w:r>
        <w:rPr>
          <w:rFonts w:ascii="Cambria" w:hAnsi="Cambria"/>
          <w:b w:val="0"/>
          <w:i w:val="0"/>
          <w:color w:val="141A21"/>
          <w:sz w:val="22"/>
        </w:rPr>
        <w:t>Les plus-values se divisent en 2 catégories, et pas en fonction de celui qui tient le pistolet comme le dit si bien le BON (Clint EASTWOOD) dans le bon, la brute et le truand, mais en fonction des amortissements déjà pratiqués.</w:t>
      </w:r>
    </w:p>
    <w:p>
      <w:pPr>
        <w:spacing w:before="0" w:after="180" w:line="264" w:lineRule="auto"/>
        <w:ind w:firstLine="340"/>
        <w:jc w:val="both"/>
      </w:pPr>
      <w:r>
        <w:rPr>
          <w:rFonts w:ascii="Cambria" w:hAnsi="Cambria"/>
          <w:b w:val="0"/>
          <w:i w:val="0"/>
          <w:color w:val="141A21"/>
          <w:sz w:val="22"/>
        </w:rPr>
        <w:t>D’accord là je commence peut être à vous perdre donc nous allons prendre un exemple souvent présenté :</w:t>
      </w:r>
    </w:p>
    <w:p>
      <w:pPr>
        <w:spacing w:before="0" w:after="180" w:line="264" w:lineRule="auto"/>
        <w:ind w:firstLine="340"/>
        <w:jc w:val="both"/>
      </w:pPr>
      <w:r>
        <w:rPr>
          <w:rFonts w:ascii="Cambria" w:hAnsi="Cambria"/>
          <w:b w:val="0"/>
          <w:i w:val="0"/>
          <w:color w:val="141A21"/>
          <w:sz w:val="22"/>
        </w:rPr>
        <w:t>Nous prendrons comme hypothèse de travail la cession d’un appartement par un LMP détenu pendant 3 ans.</w:t>
      </w:r>
    </w:p>
    <w:p>
      <w:pPr>
        <w:spacing w:before="0" w:after="180" w:line="264" w:lineRule="auto"/>
        <w:ind w:firstLine="340"/>
        <w:jc w:val="both"/>
      </w:pPr>
      <w:r>
        <w:rPr>
          <w:rFonts w:ascii="Cambria" w:hAnsi="Cambria"/>
          <w:b w:val="0"/>
          <w:i w:val="0"/>
          <w:color w:val="141A21"/>
          <w:sz w:val="22"/>
        </w:rPr>
        <w:t>Prix d’acquisition du bien : 200.000€</w:t>
      </w:r>
    </w:p>
    <w:p>
      <w:pPr>
        <w:spacing w:before="0" w:after="180" w:line="264" w:lineRule="auto"/>
        <w:ind w:firstLine="340"/>
        <w:jc w:val="both"/>
      </w:pPr>
      <w:r>
        <w:rPr>
          <w:rFonts w:ascii="Cambria" w:hAnsi="Cambria"/>
          <w:b w:val="0"/>
          <w:i w:val="0"/>
          <w:color w:val="141A21"/>
          <w:sz w:val="22"/>
        </w:rPr>
        <w:t>Prix de cession : 300.000€</w:t>
      </w:r>
    </w:p>
    <w:p>
      <w:pPr>
        <w:spacing w:before="0" w:after="180" w:line="264" w:lineRule="auto"/>
        <w:ind w:firstLine="340"/>
        <w:jc w:val="both"/>
      </w:pPr>
      <w:r>
        <w:rPr>
          <w:rFonts w:ascii="Cambria" w:hAnsi="Cambria"/>
          <w:b w:val="0"/>
          <w:i w:val="0"/>
          <w:color w:val="141A21"/>
          <w:sz w:val="22"/>
        </w:rPr>
        <w:t>Amortissements pratiqués : 70.000€</w:t>
      </w:r>
    </w:p>
    <w:p>
      <w:pPr>
        <w:spacing w:before="0" w:after="180" w:line="264" w:lineRule="auto"/>
        <w:ind w:firstLine="340"/>
        <w:jc w:val="both"/>
      </w:pPr>
      <w:r>
        <w:rPr>
          <w:rFonts w:ascii="Cambria" w:hAnsi="Cambria"/>
          <w:b w:val="0"/>
          <w:i w:val="0"/>
          <w:color w:val="141A21"/>
          <w:sz w:val="22"/>
        </w:rPr>
        <w:t>La plus-value professionnelle sera donc de :</w:t>
      </w:r>
    </w:p>
    <w:p>
      <w:pPr>
        <w:spacing w:before="0" w:after="180" w:line="264" w:lineRule="auto"/>
        <w:ind w:firstLine="340"/>
        <w:jc w:val="both"/>
      </w:pPr>
      <w:r>
        <w:rPr>
          <w:rFonts w:ascii="Cambria" w:hAnsi="Cambria"/>
          <w:b w:val="0"/>
          <w:i w:val="0"/>
          <w:color w:val="141A21"/>
          <w:sz w:val="22"/>
        </w:rPr>
        <w:t>Prix de vente – (prix achat – amortissements pratiqués) = +value</w:t>
      </w:r>
    </w:p>
    <w:p>
      <w:pPr>
        <w:spacing w:before="0" w:after="180" w:line="264" w:lineRule="auto"/>
        <w:ind w:firstLine="340"/>
        <w:jc w:val="both"/>
      </w:pPr>
      <w:r>
        <w:rPr>
          <w:rFonts w:ascii="Cambria" w:hAnsi="Cambria"/>
          <w:b w:val="0"/>
          <w:i w:val="0"/>
          <w:color w:val="141A21"/>
          <w:sz w:val="22"/>
        </w:rPr>
        <w:t>Soit dans notre exemple :</w:t>
      </w:r>
    </w:p>
    <w:p>
      <w:pPr>
        <w:spacing w:before="0" w:after="180" w:line="264" w:lineRule="auto"/>
        <w:ind w:firstLine="340"/>
        <w:jc w:val="both"/>
      </w:pPr>
      <w:r>
        <w:rPr>
          <w:rFonts w:ascii="Cambria" w:hAnsi="Cambria"/>
          <w:b w:val="0"/>
          <w:i w:val="0"/>
          <w:color w:val="141A21"/>
          <w:sz w:val="22"/>
        </w:rPr>
        <w:t>300.000€ - (200.000€ - 70.000€) = 170.000€</w:t>
      </w:r>
    </w:p>
    <w:p>
      <w:pPr>
        <w:spacing w:before="0" w:after="180" w:line="264" w:lineRule="auto"/>
        <w:ind w:firstLine="340"/>
        <w:jc w:val="both"/>
      </w:pPr>
      <w:r>
        <w:rPr>
          <w:rFonts w:ascii="Cambria" w:hAnsi="Cambria"/>
          <w:b w:val="0"/>
          <w:i w:val="0"/>
          <w:color w:val="141A21"/>
          <w:sz w:val="22"/>
        </w:rPr>
        <w:t>Les 170.000€ de plus-values se décomposent en 70.000€ de plus-values à court terme (montant des amortissements) et 100.000€ de plus-values à long terme.</w:t>
      </w:r>
    </w:p>
    <w:p>
      <w:pPr>
        <w:spacing w:before="0" w:after="180" w:line="264" w:lineRule="auto"/>
        <w:ind w:firstLine="340"/>
        <w:jc w:val="both"/>
      </w:pPr>
      <w:r>
        <w:rPr>
          <w:rFonts w:ascii="Cambria" w:hAnsi="Cambria"/>
          <w:b w:val="0"/>
          <w:i w:val="0"/>
          <w:color w:val="141A21"/>
          <w:sz w:val="22"/>
        </w:rPr>
        <w:t>La distinction est importante car les plus-values à long terme bénéficies d’un taux d’imposition fixe de 19% actuellement et de 17.2% de contributions sociales, alors que les plus-values à court terme sont imposées au barème progressif de l’impôt sur le revenu et depuis le 1er janvier 2012 aux cotisations sociales des travailleurs indépendants soit le fameux RSI.</w:t>
      </w:r>
    </w:p>
    <w:p>
      <w:pPr>
        <w:pStyle w:val="Heading3"/>
        <w:spacing w:before="400" w:after="100" w:line="276" w:lineRule="auto"/>
      </w:pPr>
      <w:r>
        <w:rPr>
          <w:rFonts w:ascii="Calibri" w:hAnsi="Calibri"/>
          <w:b/>
          <w:i w:val="0"/>
          <w:color w:val="141A21"/>
          <w:sz w:val="27"/>
        </w:rPr>
        <w:t>Les plus-values des particuliers (le LMNP)</w:t>
      </w:r>
    </w:p>
    <w:p>
      <w:pPr>
        <w:spacing w:before="0" w:after="180" w:line="264" w:lineRule="auto"/>
        <w:jc w:val="both"/>
      </w:pPr>
      <w:r>
        <w:rPr>
          <w:rFonts w:ascii="Cambria" w:hAnsi="Cambria"/>
          <w:b w:val="0"/>
          <w:i w:val="0"/>
          <w:color w:val="141A21"/>
          <w:sz w:val="22"/>
        </w:rPr>
        <w:t>Cas des LMNP : ils relèvent du régime des plus-values des particuliers. La particularité de ce régime est que la plus-value ne se calcule que lorsque le bien est sorti du patrimoine à titre onéreux. De ce fait aucune plus-value ne doit être calculée lors de l’apport ou de la sortie d’un actif immobilier à l’activité du Loueur en Meublé Non Professionnel y compris si le LMNP devient LMP suite au développement de son activité ou de sa situation fiscale personnelle. Ces plus-values sont calculées et déclarées par les notaires.</w:t>
      </w:r>
    </w:p>
    <w:p>
      <w:pPr>
        <w:spacing w:before="0" w:after="180" w:line="264" w:lineRule="auto"/>
        <w:ind w:firstLine="340"/>
        <w:jc w:val="both"/>
      </w:pPr>
      <w:r>
        <w:rPr>
          <w:rFonts w:ascii="Cambria" w:hAnsi="Cambria"/>
          <w:b w:val="0"/>
          <w:i w:val="0"/>
          <w:color w:val="141A21"/>
          <w:sz w:val="22"/>
        </w:rPr>
        <w:t>Quelques différences significatives pour le régime des particuliers :</w:t>
      </w:r>
    </w:p>
    <w:p>
      <w:pPr>
        <w:spacing w:before="0" w:after="180" w:line="264" w:lineRule="auto"/>
        <w:ind w:firstLine="340"/>
        <w:jc w:val="both"/>
      </w:pPr>
      <w:r>
        <w:rPr>
          <w:rFonts w:ascii="Cambria" w:hAnsi="Cambria"/>
          <w:b w:val="0"/>
          <w:i w:val="0"/>
          <w:color w:val="141A21"/>
          <w:sz w:val="22"/>
        </w:rPr>
        <w:t>1°) Les amortissements pratiqués sur le prix d’acquisition du bien ne sont pas pris en compte dans la détermination de la plus-value, soit dans l’exemple précédent :</w:t>
      </w:r>
    </w:p>
    <w:p>
      <w:pPr>
        <w:spacing w:before="0" w:after="180" w:line="264" w:lineRule="auto"/>
        <w:ind w:firstLine="340"/>
        <w:jc w:val="both"/>
      </w:pPr>
      <w:r>
        <w:rPr>
          <w:rFonts w:ascii="Cambria" w:hAnsi="Cambria"/>
          <w:b w:val="0"/>
          <w:i w:val="0"/>
          <w:color w:val="141A21"/>
          <w:sz w:val="22"/>
        </w:rPr>
        <w:t>Prix de vente – prix achat = +value</w:t>
      </w:r>
    </w:p>
    <w:p>
      <w:pPr>
        <w:spacing w:before="0" w:after="180" w:line="264" w:lineRule="auto"/>
        <w:ind w:firstLine="340"/>
        <w:jc w:val="both"/>
      </w:pPr>
      <w:r>
        <w:rPr>
          <w:rFonts w:ascii="Cambria" w:hAnsi="Cambria"/>
          <w:b w:val="0"/>
          <w:i w:val="0"/>
          <w:color w:val="141A21"/>
          <w:sz w:val="22"/>
        </w:rPr>
        <w:t>300.000€ - 200.000€ = 100.000€</w:t>
      </w:r>
    </w:p>
    <w:p>
      <w:pPr>
        <w:spacing w:before="0" w:after="180" w:line="264" w:lineRule="auto"/>
        <w:ind w:firstLine="340"/>
        <w:jc w:val="both"/>
      </w:pPr>
      <w:r>
        <w:rPr>
          <w:rFonts w:ascii="Cambria" w:hAnsi="Cambria"/>
          <w:b w:val="0"/>
          <w:i w:val="0"/>
          <w:color w:val="141A21"/>
          <w:sz w:val="22"/>
        </w:rPr>
        <w:t>Néanmoins les travaux de construction, d’amélioration, de réparation et d’entretien déduits fiscalement, y compris sous forme d’amortissements ne peuvent pas impacter cette plus-value pour éviter la double déduction fiscale de ces dépenses</w:t>
      </w:r>
    </w:p>
    <w:p>
      <w:pPr>
        <w:spacing w:before="0" w:after="180" w:line="264" w:lineRule="auto"/>
        <w:ind w:firstLine="340"/>
        <w:jc w:val="both"/>
      </w:pPr>
      <w:r>
        <w:rPr>
          <w:rFonts w:ascii="Cambria" w:hAnsi="Cambria"/>
          <w:b w:val="0"/>
          <w:i w:val="0"/>
          <w:color w:val="141A21"/>
          <w:sz w:val="22"/>
        </w:rPr>
        <w:t>2°) des abattements sur le montant de la plus-value imposable sont prévus en fonction de la durée de détention du bien immobilier. Ce barème amène à ce que la plus+value soit complètement exonérée fiscalement su le bien a été détenu plus de 22 ans et socialement si la détention a dépassé 30 ans.</w:t>
      </w:r>
    </w:p>
    <w:p>
      <w:pPr>
        <w:spacing w:before="0" w:after="180" w:line="264" w:lineRule="auto"/>
        <w:ind w:firstLine="340"/>
        <w:jc w:val="both"/>
      </w:pPr>
      <w:r>
        <w:rPr>
          <w:rFonts w:ascii="Cambria" w:hAnsi="Cambria"/>
          <w:b w:val="0"/>
          <w:i w:val="0"/>
          <w:color w:val="141A21"/>
          <w:sz w:val="22"/>
        </w:rPr>
        <w:t>Les plus-values bénéficies d’un taux d’imposition fixe de 19% actuellement et de 17.2% de contributions sociales.</w:t>
      </w:r>
    </w:p>
    <w:p>
      <w:pPr>
        <w:spacing w:before="0" w:after="180" w:line="264" w:lineRule="auto"/>
        <w:ind w:firstLine="340"/>
        <w:jc w:val="both"/>
      </w:pPr>
      <w:r>
        <w:rPr>
          <w:rFonts w:ascii="Cambria" w:hAnsi="Cambria"/>
          <w:b w:val="0"/>
          <w:i w:val="0"/>
          <w:color w:val="141A21"/>
          <w:sz w:val="22"/>
        </w:rPr>
        <w:t>Les abattements fiscaux sont de 6% à partir de la 6ème année et de 4% la 22ème année</w:t>
      </w:r>
    </w:p>
    <w:p>
      <w:pPr>
        <w:spacing w:before="0" w:after="180" w:line="264" w:lineRule="auto"/>
        <w:ind w:firstLine="340"/>
        <w:jc w:val="both"/>
      </w:pPr>
      <w:r>
        <w:rPr>
          <w:rFonts w:ascii="Cambria" w:hAnsi="Cambria"/>
          <w:b w:val="0"/>
          <w:i w:val="0"/>
          <w:color w:val="141A21"/>
          <w:sz w:val="22"/>
        </w:rPr>
        <w:t>Les abattements sociaux sont de 1,65% à partir de la 6ème année, de 1,60% la 22ème année et de 9% par année de la 23ème à la 30ème année.</w:t>
      </w:r>
    </w:p>
    <w:p>
      <w:pPr>
        <w:spacing w:before="0" w:after="180" w:line="264" w:lineRule="auto"/>
        <w:ind w:firstLine="340"/>
        <w:jc w:val="both"/>
      </w:pPr>
      <w:r>
        <w:rPr>
          <w:rFonts w:ascii="Cambria" w:hAnsi="Cambria"/>
          <w:b w:val="0"/>
          <w:i w:val="0"/>
          <w:color w:val="141A21"/>
          <w:sz w:val="22"/>
        </w:rPr>
        <w:t>Ce régime Loueur en Meublé reste pour certaines personnes un BON choix, à plusieurs reprises je l’ai conseillé à mes clients. En effet ce système a le mérite d’être simple pour un ENTREPRENEUR qui se lance pour la première fois dans l’investissement locatif. Il devient le propriétaire en nom propre de son bien immobilier. La vie pouvant faire changer notre destinée et dans ce cas, notre propriétaire pourra toujours récupérer ce bien immobilier pour se loger, donc en habitation principale, et éventuellement plus tard le céder en exonération d’impôt sur les plus-values.</w:t>
      </w:r>
    </w:p>
    <w:p>
      <w:pPr>
        <w:pStyle w:val="Heading3"/>
        <w:spacing w:before="400" w:after="100" w:line="276" w:lineRule="auto"/>
      </w:pPr>
      <w:r>
        <w:rPr>
          <w:rFonts w:ascii="Calibri" w:hAnsi="Calibri"/>
          <w:b/>
          <w:i w:val="0"/>
          <w:color w:val="141A21"/>
          <w:sz w:val="27"/>
        </w:rPr>
        <w:t>Le cas de la résidence principale</w:t>
      </w:r>
    </w:p>
    <w:p>
      <w:pPr>
        <w:spacing w:before="0" w:after="180" w:line="264" w:lineRule="auto"/>
        <w:jc w:val="both"/>
      </w:pPr>
      <w:r>
        <w:rPr>
          <w:rFonts w:ascii="Cambria" w:hAnsi="Cambria"/>
          <w:b w:val="0"/>
          <w:i w:val="0"/>
          <w:color w:val="141A21"/>
          <w:sz w:val="22"/>
        </w:rPr>
        <w:t>Cas de la résidence principale</w:t>
      </w:r>
    </w:p>
    <w:p>
      <w:pPr>
        <w:spacing w:before="0" w:after="180" w:line="264" w:lineRule="auto"/>
        <w:ind w:firstLine="340"/>
        <w:jc w:val="both"/>
      </w:pPr>
      <w:r>
        <w:rPr>
          <w:rFonts w:ascii="Cambria" w:hAnsi="Cambria"/>
          <w:b w:val="0"/>
          <w:i w:val="0"/>
          <w:color w:val="141A21"/>
          <w:sz w:val="22"/>
        </w:rPr>
        <w:t>Je profite de ce moment pour réagir sur ce que je lis sur les réseaux sociaux ou que j’entends concernant la position du gouvernement PHILIPPE relative à la loi de finance 2019, en prévoyant de taxer cette plus-value. Ce n’est pas la première fois qu’une proposition de loi sur la taxation de la RP est avancée par les politiques ; en fait elle ressort souvent lorsque « le peuple » réclame un ajustement de la fiscalité sur les plus riches. Alors les politiques veulent-ils répondre à la population que de la justice sociale on peut en trouver partout et qu’il suffit de regarder autour de soi. C’est sûr que de faire circuler le bruit pour un dirigeant de la majorité au pouvoir, que le parlement, sur propositions du gouvernement, pourrait assujettir la cession de l’habitation principale à l’import, ça calme les ardeurs en faisant passer le message que vous voulez moins de taxes sur les carburants donc je vais devoir chercher ailleurs des recettes et donc pourquoi pas sur la cession des habitations principales. Ce sujet reste très sensible surtout en France plus qu’aux USA où la propriété de sa maison n’a pas la même symbolique dans ce pays où la mobilité est une valeur de réussite pour aller habiter la où le travail m’appelle. Evidemment pour des « enracinés » comme nous, notre maison c’est en plus du lieu de réunion de notre famille c’est une tirelire que l’on constitue chaque mois, si nous l’avons acquise par emprunt bancaire, et qui sera notre trésor, notre richesse lorsque nous aurons fini de la rembourser en cas de coup dur. Mon ami Cédric ANNICETTE dit souvent dans ses conférences que l’habitation principale en pleine propriété est un PASSIF car elle à utiliser notre capacité d’emprunt et elle ne rapporte aucun cash. Je vous laisse vous référer à ces formations pour comprendre sa position. Pour ma part j’ai toujours pensé que détenir sa résidence principale à titre personnel était une bonne solution car certes vous immobilisez de la trésorerie mais c’est une réserve de plus-value et aujourd’hui cette plus-value n’est pas taxable en cas de cession. Evidemment si une loi venait à taxer cette plus-value au même titre que n’importe quelle cession, j’adapterai surement ma stratégie d’investissement par le biais de mes sociétés à ce bien immobilier si envié par la majorité des êtres humains puisque se loger est un des éléments primaires de la vie au même niveau que se nourrir et se vêtir.</w:t>
      </w:r>
    </w:p>
    <w:p>
      <w:pPr>
        <w:spacing w:before="0" w:after="180" w:line="264" w:lineRule="auto"/>
        <w:ind w:firstLine="340"/>
        <w:jc w:val="both"/>
      </w:pPr>
      <w:r>
        <w:rPr>
          <w:rFonts w:ascii="Cambria" w:hAnsi="Cambria"/>
          <w:b w:val="0"/>
          <w:i w:val="0"/>
          <w:color w:val="141A21"/>
          <w:sz w:val="22"/>
        </w:rPr>
        <w:t>Au moment de l’écriture de ces lignes le parlement n’a pas adopté cette taxation.</w:t>
      </w:r>
    </w:p>
    <w:p>
      <w:pPr>
        <w:pStyle w:val="Heading3"/>
        <w:spacing w:before="400" w:after="100" w:line="276" w:lineRule="auto"/>
      </w:pPr>
      <w:r>
        <w:rPr>
          <w:rFonts w:ascii="Calibri" w:hAnsi="Calibri"/>
          <w:b/>
          <w:i w:val="0"/>
          <w:color w:val="141A21"/>
          <w:sz w:val="27"/>
        </w:rPr>
        <w:t>L'achat-revente de la résidence principale</w:t>
      </w:r>
    </w:p>
    <w:p>
      <w:pPr>
        <w:spacing w:before="0" w:after="180" w:line="264" w:lineRule="auto"/>
        <w:jc w:val="both"/>
      </w:pPr>
      <w:r>
        <w:rPr>
          <w:rFonts w:ascii="Cambria" w:hAnsi="Cambria"/>
          <w:b w:val="0"/>
          <w:i w:val="0"/>
          <w:color w:val="141A21"/>
          <w:sz w:val="22"/>
        </w:rPr>
        <w:t>Utiliser la résidence principale pour faire une opération d’achat-revente ?</w:t>
      </w:r>
    </w:p>
    <w:p>
      <w:pPr>
        <w:spacing w:before="0" w:after="180" w:line="264" w:lineRule="auto"/>
        <w:ind w:firstLine="340"/>
        <w:jc w:val="both"/>
      </w:pPr>
      <w:r>
        <w:rPr>
          <w:rFonts w:ascii="Cambria" w:hAnsi="Cambria"/>
          <w:b w:val="0"/>
          <w:i w:val="0"/>
          <w:color w:val="141A21"/>
          <w:sz w:val="22"/>
        </w:rPr>
        <w:t>Je voudrais faire un focus sur une méthode que j’ai rencontré à plusieurs reprises, appliquée par certains investisseurs celle de l’achat revente cyclique de l’habitation principale.</w:t>
      </w:r>
    </w:p>
    <w:p>
      <w:pPr>
        <w:spacing w:before="0" w:after="180" w:line="264" w:lineRule="auto"/>
        <w:ind w:firstLine="340"/>
        <w:jc w:val="both"/>
      </w:pPr>
      <w:r>
        <w:rPr>
          <w:rFonts w:ascii="Cambria" w:hAnsi="Cambria"/>
          <w:b w:val="0"/>
          <w:i w:val="0"/>
          <w:color w:val="141A21"/>
          <w:sz w:val="22"/>
        </w:rPr>
        <w:t>Comme toujours plusieurs cas sont à analyser :</w:t>
      </w:r>
    </w:p>
    <w:p>
      <w:pPr>
        <w:spacing w:before="0" w:after="180" w:line="264" w:lineRule="auto"/>
        <w:ind w:firstLine="340"/>
        <w:jc w:val="both"/>
      </w:pPr>
      <w:r>
        <w:rPr>
          <w:rFonts w:ascii="Cambria" w:hAnsi="Cambria"/>
          <w:b w:val="0"/>
          <w:i w:val="0"/>
          <w:color w:val="141A21"/>
          <w:sz w:val="22"/>
        </w:rPr>
        <w:t>Le bricoleur : il aime acquérir des biens immobiliers en désuétude, faire des travaux en fonction du temps qu’il dispose et une fois que cette maison est terminée, il l’a revend, encaisse la plus-value sans taxation actuellement et rachète une nouvelle maison et recommence.</w:t>
      </w:r>
    </w:p>
    <w:p>
      <w:pPr>
        <w:spacing w:before="0" w:after="180" w:line="264" w:lineRule="auto"/>
        <w:ind w:firstLine="340"/>
        <w:jc w:val="both"/>
      </w:pPr>
      <w:r>
        <w:rPr>
          <w:rFonts w:ascii="Cambria" w:hAnsi="Cambria"/>
          <w:b w:val="0"/>
          <w:i w:val="0"/>
          <w:color w:val="141A21"/>
          <w:sz w:val="22"/>
        </w:rPr>
        <w:t>Dans un village proche de chez moi que je traverse pour me rendre au marché hebdomadaire de la ville la plus proche, je constatais qu’une vieille maison était en cours de réhabilitation. A chaque semaine je constatais l’avancement des travaux mais je trouvais que les travaux n’avançaient pas tres rapidement. Un jour d’été alors que j’effectuais mon jogging je m’arrête devant cette maison où un homme était en cours d’installation de luminaires extérieurs. J’enclenche la conversation par curiosité mais également, il faut bien l’avouer, pour reprendre mon souffle. Ma curiosité me pousse à lui demander sa motivation. En fait cet homme aimait bricoler, peu d’argent et était salarié en bénéficiant des 5 semaines de congés payés ainsi que de RTT. Il avait convaincu son conjoint d’accepter pour leur famille de restaurer une habitation désuète afin de se constituer un patrimoine immobilier revendable. Il n’en était pas à sa première opération mais à chaque fois ils ‘attaquait à plus en plus gros en surface habitable, ce qui était cohérent puisque sa famille s’agrandissait également. Je l’ai senti heureux. Lorsque son conjoint nous a rejoints nous avons fini notre discussion sur une note d’amertume. Certes monsieur s’éclatait à bricoler tous ses temps libres pour améliorer le bien être de sa famille, mais madame en avait un peu marre de quitter son foyer régulièrement surtout quand celui-ci devient enfin habitable après plusieurs années de camping. Elle m’expliquait avoir réalisé les repas familiaux sur des réchauds pendant plusieurs années avant d’avoir la cuisine de ses rêves à disposition. Elle reconnaissait que son mari l’écoutait pour concevoir un espace qui faisait plaisir à sa femme comme également la salle de bains. Je les ai laissés avec leur bricolage car pour ma part ils ne m’ont pas du tout fait envi.</w:t>
      </w:r>
    </w:p>
    <w:p>
      <w:pPr>
        <w:spacing w:before="0" w:after="180" w:line="264" w:lineRule="auto"/>
        <w:ind w:firstLine="340"/>
        <w:jc w:val="both"/>
      </w:pPr>
      <w:r>
        <w:rPr>
          <w:rFonts w:ascii="Cambria" w:hAnsi="Cambria"/>
          <w:b w:val="0"/>
          <w:i w:val="0"/>
          <w:color w:val="141A21"/>
          <w:sz w:val="22"/>
        </w:rPr>
        <w:t>Et puis il y a le malin : il aime utiliser un avantage a contre courant de la philosophie du législateur. Ce personnage a analysé et retenu que les plus-values sur cession d’habitation principale étaient exonérées d’impôt et donc il recherche les montages leur permettant de bénéficier de cet avantage. J’ai rencontré plusieurs cas en fonction du risque à prendre surtout vis-à-vis de l’Administration fiscale. A la différence du cas exposé ci-dessus, certaines personnes veulent utiliser cet avantage fiscal de la non imposition de la plus-value pour amasser le maximum de cash. Ils achètent des biens qu’ils déclarent en habitation principale, font réaliser des travaux par des entreprises du bâtiment et revendent le bien rapidement avec une plus-value. Ils recommencent le même manège et ainsi de suite. Leur objectif est bien économique. J’ai même rencontré des personnes qui utilisaient au maximum ce système en toute illégalité comme déclarer vivre à titre principal dans le bien qu’ils ont acquis, le louer à d’autres personnes sans déclarer cette location (loyer verser en espèces) pour faire croire que ce sont eux qui vivent là en souscrivant un contrat a leur nom auprès des fournisseurs comme l’eau, l’électricité et le téléphone alors qu’en définitive ils vivent chez des proches (parents ou petits-amis). Cette façon de faire est illicite car cela s’appelle du « marchands de biens » et cette activité est soumise à la taxation des entreprises.</w:t>
      </w:r>
    </w:p>
    <w:p>
      <w:pPr>
        <w:spacing w:before="0" w:after="180" w:line="264" w:lineRule="auto"/>
        <w:ind w:firstLine="340"/>
        <w:jc w:val="both"/>
      </w:pPr>
      <w:r>
        <w:rPr>
          <w:rFonts w:ascii="Cambria" w:hAnsi="Cambria"/>
          <w:b w:val="0"/>
          <w:i w:val="0"/>
          <w:color w:val="141A21"/>
          <w:sz w:val="22"/>
        </w:rPr>
        <w:t>Choisir la mensualisation ou le paiement par tiers ?</w:t>
      </w:r>
    </w:p>
    <w:p>
      <w:pPr>
        <w:spacing w:before="0" w:after="180" w:line="264" w:lineRule="auto"/>
        <w:ind w:firstLine="340"/>
        <w:jc w:val="both"/>
      </w:pPr>
      <w:r>
        <w:rPr>
          <w:rFonts w:ascii="Cambria" w:hAnsi="Cambria"/>
          <w:b w:val="0"/>
          <w:i w:val="0"/>
          <w:color w:val="141A21"/>
          <w:sz w:val="22"/>
        </w:rPr>
        <w:t>L’utilité du testament</w:t>
      </w:r>
    </w:p>
    <w:p>
      <w:r>
        <w:br w:type="page"/>
      </w:r>
    </w:p>
    <w:p>
      <w:pPr>
        <w:pStyle w:val="Heading2"/>
        <w:spacing w:before="240" w:after="200" w:line="276" w:lineRule="auto"/>
      </w:pPr>
      <w:r>
        <w:rPr>
          <w:rFonts w:ascii="Calibri" w:hAnsi="Calibri"/>
          <w:b/>
          <w:i w:val="0"/>
          <w:color w:val="B05A3C"/>
          <w:sz w:val="36"/>
        </w:rPr>
        <w:t>Chapitre 9 — La taxation de l'immobilier</w:t>
      </w:r>
    </w:p>
    <w:p>
      <w:pPr>
        <w:pStyle w:val="Heading3"/>
        <w:spacing w:before="400" w:after="100" w:line="276" w:lineRule="auto"/>
      </w:pPr>
      <w:r>
        <w:rPr>
          <w:rFonts w:ascii="Calibri" w:hAnsi="Calibri"/>
          <w:b/>
          <w:i w:val="0"/>
          <w:color w:val="141A21"/>
          <w:sz w:val="27"/>
        </w:rPr>
        <w:t>La TVA</w:t>
      </w:r>
    </w:p>
    <w:p>
      <w:pPr>
        <w:spacing w:before="0" w:after="180" w:line="264" w:lineRule="auto"/>
        <w:jc w:val="both"/>
      </w:pPr>
      <w:r>
        <w:rPr>
          <w:rFonts w:ascii="Cambria" w:hAnsi="Cambria"/>
          <w:b w:val="0"/>
          <w:i w:val="0"/>
          <w:color w:val="141A21"/>
          <w:sz w:val="22"/>
        </w:rPr>
        <w:t>TVA</w:t>
      </w:r>
    </w:p>
    <w:p>
      <w:pPr>
        <w:spacing w:before="0" w:after="180" w:line="264" w:lineRule="auto"/>
        <w:ind w:firstLine="340"/>
        <w:jc w:val="both"/>
      </w:pPr>
      <w:r>
        <w:rPr>
          <w:rFonts w:ascii="Cambria" w:hAnsi="Cambria"/>
          <w:b w:val="0"/>
          <w:i w:val="0"/>
          <w:color w:val="141A21"/>
          <w:sz w:val="22"/>
        </w:rPr>
        <w:t>L’activité de location de logement est en principe exonérée de TVA.</w:t>
      </w:r>
    </w:p>
    <w:p>
      <w:pPr>
        <w:spacing w:before="0" w:after="180" w:line="264" w:lineRule="auto"/>
        <w:ind w:firstLine="340"/>
        <w:jc w:val="both"/>
      </w:pPr>
      <w:r>
        <w:rPr>
          <w:rFonts w:ascii="Cambria" w:hAnsi="Cambria"/>
          <w:b w:val="0"/>
          <w:i w:val="0"/>
          <w:color w:val="141A21"/>
          <w:sz w:val="22"/>
        </w:rPr>
        <w:t>La location de logements meublés est soumise à la TVA dans les cas suivants :</w:t>
      </w:r>
    </w:p>
    <w:p>
      <w:pPr>
        <w:spacing w:before="0" w:after="180" w:line="264" w:lineRule="auto"/>
        <w:ind w:firstLine="340"/>
        <w:jc w:val="both"/>
      </w:pPr>
      <w:r>
        <w:rPr>
          <w:rFonts w:ascii="Cambria" w:hAnsi="Cambria"/>
          <w:b w:val="0"/>
          <w:i w:val="0"/>
          <w:color w:val="141A21"/>
          <w:sz w:val="22"/>
        </w:rPr>
        <w:t>Prestations d’hébergement fournies dans les hôtels de tourisme classés ;</w:t>
      </w:r>
    </w:p>
    <w:p>
      <w:pPr>
        <w:spacing w:before="0" w:after="180" w:line="264" w:lineRule="auto"/>
        <w:ind w:firstLine="340"/>
        <w:jc w:val="both"/>
      </w:pPr>
      <w:r>
        <w:rPr>
          <w:rFonts w:ascii="Cambria" w:hAnsi="Cambria"/>
          <w:b w:val="0"/>
          <w:i w:val="0"/>
          <w:color w:val="141A21"/>
          <w:sz w:val="22"/>
        </w:rPr>
        <w:t>Prestations d’hébergement fournies dans les villages de vacances classés ou agréés ;</w:t>
      </w:r>
    </w:p>
    <w:p>
      <w:pPr>
        <w:spacing w:before="0" w:after="180" w:line="264" w:lineRule="auto"/>
        <w:ind w:firstLine="340"/>
        <w:jc w:val="both"/>
      </w:pPr>
      <w:r>
        <w:rPr>
          <w:rFonts w:ascii="Cambria" w:hAnsi="Cambria"/>
          <w:b w:val="0"/>
          <w:i w:val="0"/>
          <w:color w:val="141A21"/>
          <w:sz w:val="22"/>
        </w:rPr>
        <w:t>Prestations d’hébergement fournies dans les résidences de tourisme classées, sous certaines conditions comme le fait de louer par un contrat d’au moins 9 années à un ou plusieurs exploitants ayant signés un engagement de promotion touristique à l’étranger dans les conditions fixées par le code général des impôts ;</w:t>
      </w:r>
    </w:p>
    <w:p>
      <w:pPr>
        <w:spacing w:before="0" w:after="180" w:line="264" w:lineRule="auto"/>
        <w:ind w:firstLine="340"/>
        <w:jc w:val="both"/>
      </w:pPr>
      <w:r>
        <w:rPr>
          <w:rFonts w:ascii="Cambria" w:hAnsi="Cambria"/>
          <w:b w:val="0"/>
          <w:i w:val="0"/>
          <w:color w:val="141A21"/>
          <w:sz w:val="22"/>
        </w:rPr>
        <w:t>Prestations de mise à disposition d’un local loué meublé de manière habituelle à un exploitant qui offre 3 des 4 prestations :</w:t>
      </w:r>
    </w:p>
    <w:p>
      <w:pPr>
        <w:spacing w:before="0" w:after="180" w:line="264" w:lineRule="auto"/>
        <w:ind w:firstLine="340"/>
        <w:jc w:val="both"/>
      </w:pPr>
      <w:r>
        <w:rPr>
          <w:rFonts w:ascii="Cambria" w:hAnsi="Cambria"/>
          <w:b w:val="0"/>
          <w:i w:val="0"/>
          <w:color w:val="141A21"/>
          <w:sz w:val="22"/>
        </w:rPr>
        <w:t>Petit déjeuner ;</w:t>
      </w:r>
    </w:p>
    <w:p>
      <w:pPr>
        <w:spacing w:before="0" w:after="180" w:line="264" w:lineRule="auto"/>
        <w:ind w:firstLine="340"/>
        <w:jc w:val="both"/>
      </w:pPr>
      <w:r>
        <w:rPr>
          <w:rFonts w:ascii="Cambria" w:hAnsi="Cambria"/>
          <w:b w:val="0"/>
          <w:i w:val="0"/>
          <w:color w:val="141A21"/>
          <w:sz w:val="22"/>
        </w:rPr>
        <w:t>Nettoyage régulier y compris pendant le séjour ;</w:t>
      </w:r>
    </w:p>
    <w:p>
      <w:pPr>
        <w:spacing w:before="0" w:after="180" w:line="264" w:lineRule="auto"/>
        <w:ind w:firstLine="340"/>
        <w:jc w:val="both"/>
      </w:pPr>
      <w:r>
        <w:rPr>
          <w:rFonts w:ascii="Cambria" w:hAnsi="Cambria"/>
          <w:b w:val="0"/>
          <w:i w:val="0"/>
          <w:color w:val="141A21"/>
          <w:sz w:val="22"/>
        </w:rPr>
        <w:t>Linge de maison ;</w:t>
      </w:r>
    </w:p>
    <w:p>
      <w:pPr>
        <w:spacing w:before="0" w:after="180" w:line="264" w:lineRule="auto"/>
        <w:ind w:firstLine="340"/>
        <w:jc w:val="both"/>
      </w:pPr>
      <w:r>
        <w:rPr>
          <w:rFonts w:ascii="Cambria" w:hAnsi="Cambria"/>
          <w:b w:val="0"/>
          <w:i w:val="0"/>
          <w:color w:val="141A21"/>
          <w:sz w:val="22"/>
        </w:rPr>
        <w:t>Accueil et réception, même non personnalisée de la clientèle.</w:t>
      </w:r>
    </w:p>
    <w:p>
      <w:pPr>
        <w:spacing w:before="0" w:after="180" w:line="264" w:lineRule="auto"/>
        <w:ind w:firstLine="340"/>
        <w:jc w:val="both"/>
      </w:pPr>
      <w:r>
        <w:rPr>
          <w:rFonts w:ascii="Cambria" w:hAnsi="Cambria"/>
          <w:b w:val="0"/>
          <w:i w:val="0"/>
          <w:color w:val="141A21"/>
          <w:sz w:val="22"/>
        </w:rPr>
        <w:t>Locations de locaux nus, meublés ou garnis à l’exploitant d’un établissement d’hébergement entrant dans l’une des 4 catégories ci-dessus, à l’exception de celles consenties à l’exploitant de certains foyers logement ;</w:t>
      </w:r>
    </w:p>
    <w:p>
      <w:pPr>
        <w:spacing w:before="0" w:after="180" w:line="264" w:lineRule="auto"/>
        <w:ind w:firstLine="340"/>
        <w:jc w:val="both"/>
      </w:pPr>
      <w:r>
        <w:rPr>
          <w:rFonts w:ascii="Cambria" w:hAnsi="Cambria"/>
          <w:b w:val="0"/>
          <w:i w:val="0"/>
          <w:color w:val="141A21"/>
          <w:sz w:val="22"/>
        </w:rPr>
        <w:t>Prestations d’hébergement fournies dans les villages résidentiels de tourisme, lorsque ceux-ci sont destinés à l’hébergement des touristes et qu’ils sont loués pour une durée d’au moins 9 ans à un exploitant respectant certaines conditions.</w:t>
      </w:r>
    </w:p>
    <w:p>
      <w:pPr>
        <w:spacing w:before="0" w:after="180" w:line="264" w:lineRule="auto"/>
        <w:ind w:firstLine="340"/>
        <w:jc w:val="both"/>
      </w:pPr>
      <w:r>
        <w:rPr>
          <w:rFonts w:ascii="Cambria" w:hAnsi="Cambria"/>
          <w:b w:val="0"/>
          <w:i w:val="0"/>
          <w:color w:val="141A21"/>
          <w:sz w:val="22"/>
        </w:rPr>
        <w:t>Si vous louez en direct des biens meublés vous n’êtes dans la grande majorité des cas non soumis à la TVA sauf si vous développez une activité par-hôtelière comme définie précédemment, mais vous ne pourrez plus bénéficier des avantages du LMNP.</w:t>
      </w:r>
    </w:p>
    <w:p>
      <w:pPr>
        <w:spacing w:before="0" w:after="180" w:line="264" w:lineRule="auto"/>
        <w:ind w:firstLine="340"/>
        <w:jc w:val="both"/>
      </w:pPr>
      <w:r>
        <w:rPr>
          <w:rFonts w:ascii="Cambria" w:hAnsi="Cambria"/>
          <w:b w:val="0"/>
          <w:i w:val="0"/>
          <w:color w:val="141A21"/>
          <w:sz w:val="22"/>
        </w:rPr>
        <w:t>Le cas principal d’assujettissement à la TVA en location meublée, est de louer ses biens immobiliers à un exploitant d’hébergement exerçant des prestations de services qui est lui-même assujetti à la TVA, c’est le cas lorsque vous achetez un bien immobilier dans un CENTER PARC que vous relouez à une société d’exploitation du site qui va rechercher des clients et louer votre bien. En fait vous avez un contrat de location la plupart du temps pluriannuel auprès de l’exploitant du site et ce dernier loue en saisonnier à plusieurs clients. Dans ce cas vous êtes vous-même assujetti à la TVA, ce qui vous permet de récupérer la TVA sur vos acquisitions des biens immobiliers et mobiliers, ainsi que sur les frais de gestion. Encore une fois rapprochez vous d’un expert-comptable si cela vous semble compliqué ; mais la gestion immobilière même assujetti à la TVA peut être avantageuse, car certes vous collecter de la TVA sur vos loyers la plupart du temps à hauteur de 10% mais vous récupérer la TVA sur l’ensemble des frais qui eux sont en majorité à 20% et de ce fait vous pouvez annuler votre TVA à payer et voir même vous faire rembourser de la TVA par l’Administration. Le régime de TVA s’applique aux LMNP et LMP qui relève du régime du réel, les micro-entrepreneurs peuvent en bénéficié depuis la loi de finance de 2018.</w:t>
      </w:r>
    </w:p>
    <w:p>
      <w:pPr>
        <w:spacing w:before="0" w:after="180" w:line="264" w:lineRule="auto"/>
        <w:ind w:firstLine="340"/>
        <w:jc w:val="both"/>
      </w:pPr>
      <w:r>
        <w:rPr>
          <w:rFonts w:ascii="Cambria" w:hAnsi="Cambria"/>
          <w:b w:val="0"/>
          <w:i w:val="0"/>
          <w:color w:val="141A21"/>
          <w:sz w:val="22"/>
        </w:rPr>
        <w:t>2 taux de TVA sont à pratiquer pour la location meublée ; le taux de 10% pour le cas général et le taux de 5,5% pour les locations dans les maisons de retraite (établissements médicalisés) et dans les etablisements pour handicapés.</w:t>
      </w:r>
    </w:p>
    <w:p>
      <w:pPr>
        <w:spacing w:before="0" w:after="180" w:line="264" w:lineRule="auto"/>
        <w:ind w:firstLine="340"/>
        <w:jc w:val="both"/>
      </w:pPr>
      <w:r>
        <w:rPr>
          <w:rFonts w:ascii="Cambria" w:hAnsi="Cambria"/>
          <w:b w:val="0"/>
          <w:i w:val="0"/>
          <w:color w:val="141A21"/>
          <w:sz w:val="22"/>
        </w:rPr>
        <w:t>Petit rappel en application de l’article 260 D du CGI: la TVA est applicable sur un logement donné en location meublé ou nu, dont la destination finale est le logement meublé. Prenons comme exemple le fait que vous êtes l’heureux propriétaire d’un logement que vous avez meublé avec gout et que vous louez à une personne par un bail indéterminé. Cette personne vous a expliqué qu’elle ne savait pas où son travail l’emmenait et que de ce fait elle ne pouvait acquérir un bien immobilier et elle préférait être titulaire d’un bail meublé pour son habitation principale. Pas de problème pour vous et vous estimez le loyer en net pour vous. Il s’avère que cette personne sous-loue votre bien en exerçant une activité de location saisonnière et en ajoutant des prestations de services. Dans ce cas le loyer que vous touchez doit être assujetti à la TVA et donc vous devez reverser une partie de ce loyer à l’Administration et cela change votre rentabilité.</w:t>
      </w:r>
    </w:p>
    <w:p>
      <w:pPr>
        <w:spacing w:before="0" w:after="180" w:line="264" w:lineRule="auto"/>
        <w:ind w:firstLine="340"/>
        <w:jc w:val="both"/>
      </w:pPr>
      <w:r>
        <w:rPr>
          <w:rFonts w:ascii="Cambria" w:hAnsi="Cambria"/>
          <w:b w:val="0"/>
          <w:i w:val="0"/>
          <w:color w:val="141A21"/>
          <w:sz w:val="22"/>
        </w:rPr>
        <w:t>Alors maintenant vous voulez savoir comment déclarer votre TVA. D’accord, je vous expose les 3 modes applicables de droit aux loueurs en meublé remplissant les conditions pour y être assujettis et réalisant plus de 82.800€ de recettes annuels hors taxes :</w:t>
      </w:r>
    </w:p>
    <w:p>
      <w:pPr>
        <w:spacing w:before="0" w:after="180" w:line="264" w:lineRule="auto"/>
        <w:ind w:firstLine="340"/>
        <w:jc w:val="both"/>
      </w:pPr>
      <w:r>
        <w:rPr>
          <w:rFonts w:ascii="Cambria" w:hAnsi="Cambria"/>
          <w:b w:val="0"/>
          <w:i w:val="0"/>
          <w:color w:val="141A21"/>
          <w:sz w:val="22"/>
        </w:rPr>
        <w:t>Réel simplifié : ce régime est ouvert aux loueurs en meublé qui réalisent annuellement des recettes comprises entre 82.800€ et 789.000€, de droit ou sur option si les recettes sont inferieures. Ce régime est, comme son nom l’indique, le plus simple. En effet l’entreprise ne réalise qu’une déclaration de TVA par exercice reprenant la TVA encaissée sur ses loyers et la TVA déductible payée sur ses frais et investissements. En cours d’exercice l’entreprise payera 2 acomptes calculés sur la TVA due au titre de l’exercice précédent soit en juillet représentant 55% et en décembre représentant 40%. La déclaration de TVA récapitulative de l’exercice social sera déposée à l’Administration dans les 3 mois suivants sa date de clôture sauf si elle clôture ses comptes au 31 décembre de chaque année, la déclaration de TVA est à déposée le 3ème jour ouvrés suivants le 1er mai (d’après un décret déposé). Ce régime est éligible que si la TVA payée annuellement ne dépasse pas 15.000€, sinon vous devez appliquer le régime réel normal.</w:t>
      </w:r>
    </w:p>
    <w:p>
      <w:pPr>
        <w:spacing w:before="0" w:after="180" w:line="264" w:lineRule="auto"/>
        <w:ind w:firstLine="340"/>
        <w:jc w:val="both"/>
      </w:pPr>
      <w:r>
        <w:rPr>
          <w:rFonts w:ascii="Cambria" w:hAnsi="Cambria"/>
          <w:b w:val="0"/>
          <w:i w:val="0"/>
          <w:color w:val="141A21"/>
          <w:sz w:val="22"/>
        </w:rPr>
        <w:t>Réel normal : ce régime est obligatoire si vous réalisez annuellement plus de 789.000€ de recettes hors taxe. Les déclarations de TVA sont a effectuer mensuellement si vous payez plus de 4.000€ de TVA annuellement sinon elles sont trimestrielles.</w:t>
      </w:r>
    </w:p>
    <w:p>
      <w:pPr>
        <w:spacing w:before="0" w:after="180" w:line="264" w:lineRule="auto"/>
        <w:ind w:firstLine="340"/>
        <w:jc w:val="both"/>
      </w:pPr>
      <w:r>
        <w:rPr>
          <w:rFonts w:ascii="Cambria" w:hAnsi="Cambria"/>
          <w:b w:val="0"/>
          <w:i w:val="0"/>
          <w:color w:val="141A21"/>
          <w:sz w:val="22"/>
        </w:rPr>
        <w:t>Mini réel : ce régime est optionnel pour les entreprises qui souhaitent bénéficier du régime du réel normal pour les déclarations de TVA mais qui veulent rester imposée fiscalement au régime du réel simplifié.</w:t>
      </w:r>
    </w:p>
    <w:p>
      <w:pPr>
        <w:spacing w:before="0" w:after="180" w:line="264" w:lineRule="auto"/>
        <w:ind w:firstLine="340"/>
        <w:jc w:val="both"/>
      </w:pPr>
      <w:r>
        <w:rPr>
          <w:rFonts w:ascii="Cambria" w:hAnsi="Cambria"/>
          <w:b w:val="0"/>
          <w:i w:val="0"/>
          <w:color w:val="141A21"/>
          <w:sz w:val="22"/>
        </w:rPr>
        <w:t>Ne pas oublier que vous ne pouvez effectuer une demande de remboursement de TVA que sur une déclaration ; de ce fait il était de bon conseil pour certains de mes clients d’établir une déclaration mensuelle de TVA ce qui nous permettait de pouvoir « réclamer » un remboursement de TVA plus fréquemment dan l’année. Cette gestion de la TVA impose une rigueur dans votre comptabilité et dans le respect des délais de dépôt des déclarations auprès de l’administration, car une TVA déductible doit être déclarée ou réclamée dans les 2 ans de sa date de déductibilité sous peine d’être perdue.</w:t>
      </w:r>
    </w:p>
    <w:p>
      <w:pPr>
        <w:spacing w:before="0" w:after="180" w:line="264" w:lineRule="auto"/>
        <w:ind w:firstLine="340"/>
        <w:jc w:val="both"/>
      </w:pPr>
      <w:r>
        <w:rPr>
          <w:rFonts w:ascii="Cambria" w:hAnsi="Cambria"/>
          <w:b w:val="0"/>
          <w:i w:val="0"/>
          <w:color w:val="141A21"/>
          <w:sz w:val="22"/>
        </w:rPr>
        <w:t>La TVA sur les immeubles n’est pas « définitivement acquise » ; elle peut être reversée dans plusieurs cas :</w:t>
      </w:r>
    </w:p>
    <w:p>
      <w:pPr>
        <w:spacing w:before="0" w:after="180" w:line="264" w:lineRule="auto"/>
        <w:ind w:firstLine="340"/>
        <w:jc w:val="both"/>
      </w:pPr>
      <w:r>
        <w:rPr>
          <w:rFonts w:ascii="Cambria" w:hAnsi="Cambria"/>
          <w:b w:val="0"/>
          <w:i w:val="0"/>
          <w:color w:val="141A21"/>
          <w:sz w:val="22"/>
        </w:rPr>
        <w:t>Vente d’immeuble achevé depuis plus de 5 ans : la TVA initialement déduite est reversée en fonction de la durée de détention du bien. La TVA à reverser est calculée par vingtième de son montant en fonction du nombre d’année entière de possession et est totalement acquise au bout de 20 ans. Si vous avez acquis il y a 18 ans un immeuble et que vous aviez déduit 20.000€ de TVA, vous devez reverser 2/20ème des 20.000€ soit 2.000€ en cas de cession du bien immobilier.</w:t>
      </w:r>
    </w:p>
    <w:p>
      <w:pPr>
        <w:spacing w:before="0" w:after="180" w:line="264" w:lineRule="auto"/>
        <w:ind w:firstLine="340"/>
        <w:jc w:val="both"/>
      </w:pPr>
      <w:r>
        <w:rPr>
          <w:rFonts w:ascii="Cambria" w:hAnsi="Cambria"/>
          <w:b w:val="0"/>
          <w:i w:val="0"/>
          <w:color w:val="141A21"/>
          <w:sz w:val="22"/>
        </w:rPr>
        <w:t>Vente d’immeuble achevé depuis moins de 5 ans : la TVA est due sur l’ensemble du prix de vente. En fait la TVA initialement déduite reste acquise mais vous devez collecter de la TVA à 20% sur la vente.</w:t>
      </w:r>
    </w:p>
    <w:p>
      <w:pPr>
        <w:spacing w:before="0" w:after="180" w:line="264" w:lineRule="auto"/>
        <w:ind w:firstLine="340"/>
        <w:jc w:val="both"/>
      </w:pPr>
      <w:r>
        <w:rPr>
          <w:rFonts w:ascii="Cambria" w:hAnsi="Cambria"/>
          <w:b w:val="0"/>
          <w:i w:val="0"/>
          <w:color w:val="141A21"/>
          <w:sz w:val="22"/>
        </w:rPr>
        <w:t>Vente d’un immeuble avec option d’assujettissent à la TVA sur l’ensemble du prix de vente inscrit dans l’acte de vente auprès du notaire.</w:t>
      </w:r>
    </w:p>
    <w:p>
      <w:pPr>
        <w:spacing w:before="0" w:after="180" w:line="264" w:lineRule="auto"/>
        <w:ind w:firstLine="340"/>
        <w:jc w:val="both"/>
      </w:pPr>
      <w:r>
        <w:rPr>
          <w:rFonts w:ascii="Cambria" w:hAnsi="Cambria"/>
          <w:b w:val="0"/>
          <w:i w:val="0"/>
          <w:color w:val="141A21"/>
          <w:sz w:val="22"/>
        </w:rPr>
        <w:t>Dans tous ces cas la TVA est récupérable par l’acquéreur s’il est assujetti à la TVA.</w:t>
      </w:r>
    </w:p>
    <w:p>
      <w:pPr>
        <w:spacing w:before="0" w:after="180" w:line="264" w:lineRule="auto"/>
        <w:ind w:firstLine="340"/>
        <w:jc w:val="both"/>
      </w:pPr>
      <w:r>
        <w:rPr>
          <w:rFonts w:ascii="Cambria" w:hAnsi="Cambria"/>
          <w:b w:val="0"/>
          <w:i w:val="0"/>
          <w:color w:val="141A21"/>
          <w:sz w:val="22"/>
        </w:rPr>
        <w:t>Une particularité existe dans le cas de vente d’un immeuble loué par un bail commercial en cours et que l’acquéreur est lui-même assujetti à la TVA et qu’il prend l’engagement de procéder lui-même aux régularisations de TVA qui apparaitront ultérieurement comme s’il avait été l’acquéreur initial. Dans ce cas aucune régularisation de TVA n’est a effectuer par le vendeur.</w:t>
      </w:r>
    </w:p>
    <w:p>
      <w:pPr>
        <w:spacing w:before="0" w:after="180" w:line="264" w:lineRule="auto"/>
        <w:ind w:firstLine="340"/>
        <w:jc w:val="both"/>
      </w:pPr>
      <w:r>
        <w:rPr>
          <w:rFonts w:ascii="Cambria" w:hAnsi="Cambria"/>
          <w:b w:val="0"/>
          <w:i w:val="0"/>
          <w:color w:val="141A21"/>
          <w:sz w:val="22"/>
        </w:rPr>
        <w:t>Focus sur le fait qu’il n’est pas possible pour un loueur en meublé de déclarer un bien immobilier sous le régime des micro-entreprises et un autre sous le régime du réel afin de bénéficier de la TVA. L’ensemble de son activité de loueur en meublé sera inscrite dans son bilan au régime de réel et la TVA sera calculée sur les produits soumis et la TVA déductible sera calculée au prorata sur les charges communes aux 2 activités, comme les honoraires de comptabilité relatifs à l’ensemble de l’entreprise. Si par exemple la TVA déductible relative aux honoraires comptables d’élève à 100€ et que les produits, donc les loyers hors taxe, assujettis à la TVA représentent 80% du CA de l’entreprise, il sera prise en compte que 80% de la TVA déductible soit 80% des 100€ = 80€.</w:t>
      </w:r>
    </w:p>
    <w:p>
      <w:pPr>
        <w:pStyle w:val="Heading3"/>
        <w:spacing w:before="400" w:after="100" w:line="276" w:lineRule="auto"/>
      </w:pPr>
      <w:r>
        <w:rPr>
          <w:rFonts w:ascii="Calibri" w:hAnsi="Calibri"/>
          <w:b/>
          <w:i w:val="0"/>
          <w:color w:val="141A21"/>
          <w:sz w:val="27"/>
        </w:rPr>
        <w:t>La taxe foncière et la taxe d'habitation</w:t>
      </w:r>
    </w:p>
    <w:p>
      <w:pPr>
        <w:spacing w:before="0" w:after="180" w:line="264" w:lineRule="auto"/>
        <w:jc w:val="both"/>
      </w:pPr>
      <w:r>
        <w:rPr>
          <w:rFonts w:ascii="Cambria" w:hAnsi="Cambria"/>
          <w:b w:val="0"/>
          <w:i w:val="0"/>
          <w:color w:val="141A21"/>
          <w:sz w:val="22"/>
        </w:rPr>
        <w:t>Taxe foncièreTaxe d'habitation : résidence principale et résidence secondaire (cas de l'assujettissement en cas de location de meublé)</w:t>
      </w:r>
    </w:p>
    <w:p>
      <w:pPr>
        <w:spacing w:before="0" w:after="180" w:line="264" w:lineRule="auto"/>
        <w:ind w:firstLine="340"/>
        <w:jc w:val="both"/>
      </w:pPr>
      <w:r>
        <w:rPr>
          <w:rFonts w:ascii="Cambria" w:hAnsi="Cambria"/>
          <w:b w:val="0"/>
          <w:i w:val="0"/>
          <w:color w:val="141A21"/>
          <w:sz w:val="22"/>
        </w:rPr>
        <w:t>La taxe foncière est redevable par tout propriétaire d’un bien immobilier. Les loueurs en meublé sont donc redevables de cette taxe dans les mêmes conditions de droit commun que les autres propriétaires. A noter que cette taxe ne doit pas être prise en charge par les « locataires ». Dans la pratique il arrive que cette taxe soit « refacturée » aux locataires si elle est prévue dans le bail et plus spécifiquement dans le bail commercial relatif à la mise en location de locaux commerciaux.</w:t>
      </w:r>
    </w:p>
    <w:p>
      <w:pPr>
        <w:spacing w:before="0" w:after="180" w:line="264" w:lineRule="auto"/>
        <w:ind w:firstLine="340"/>
        <w:jc w:val="both"/>
      </w:pPr>
      <w:r>
        <w:rPr>
          <w:rFonts w:ascii="Cambria" w:hAnsi="Cambria"/>
          <w:b w:val="0"/>
          <w:i w:val="0"/>
          <w:color w:val="141A21"/>
          <w:sz w:val="22"/>
        </w:rPr>
        <w:t>La taxe d’habitation est redevable par l’occupant principal du bien immobilier qui en fait donc sa résidence principale.</w:t>
      </w:r>
    </w:p>
    <w:p>
      <w:pPr>
        <w:spacing w:before="0" w:after="180" w:line="264" w:lineRule="auto"/>
        <w:ind w:firstLine="340"/>
        <w:jc w:val="both"/>
      </w:pPr>
      <w:r>
        <w:rPr>
          <w:rFonts w:ascii="Cambria" w:hAnsi="Cambria"/>
          <w:b w:val="0"/>
          <w:i w:val="0"/>
          <w:color w:val="141A21"/>
          <w:sz w:val="22"/>
        </w:rPr>
        <w:t>Les propriétaires et les principaux locataires ne sont donc pas redevables de cette taxe pour les biens immobiliers donnés en location ou sous-location en meublé si ce n’est pas leur habitation principale, s’il est spécifiquement aménagé pour la location ou enfin si le bien immobilier est imposable à la CFE, contribution foncière des entreprises.</w:t>
      </w:r>
    </w:p>
    <w:p>
      <w:pPr>
        <w:spacing w:before="0" w:after="180" w:line="264" w:lineRule="auto"/>
        <w:ind w:firstLine="340"/>
        <w:jc w:val="both"/>
      </w:pPr>
      <w:r>
        <w:rPr>
          <w:rFonts w:ascii="Cambria" w:hAnsi="Cambria"/>
          <w:b w:val="0"/>
          <w:i w:val="0"/>
          <w:color w:val="141A21"/>
          <w:sz w:val="22"/>
        </w:rPr>
        <w:t>Dans le cas ou le propriétaire ou le locataire principal utilise le bien immobilier meublé pour son habitation personnelle totale ou partielle, la taxe d’habitation leur sera appelée par l’Administration. Toutefois les communes et les établissements publics peuvent exonérer la quote-part de taxe d’habitation leur revenant, les biens immobiliers meublés à titre de gite rural, les locaux classés en meublés de tourisme et les chambres d’hôtes situés dans les zones de revitalisation rurale.</w:t>
      </w:r>
    </w:p>
    <w:p>
      <w:pPr>
        <w:spacing w:before="0" w:after="180" w:line="264" w:lineRule="auto"/>
        <w:ind w:firstLine="340"/>
        <w:jc w:val="both"/>
      </w:pPr>
      <w:r>
        <w:rPr>
          <w:rFonts w:ascii="Cambria" w:hAnsi="Cambria"/>
          <w:b w:val="0"/>
          <w:i w:val="0"/>
          <w:color w:val="141A21"/>
          <w:sz w:val="22"/>
        </w:rPr>
        <w:t>Cas d’exception si en tant que propriétaire vous vous conservé pour une durée significative l’occupation d’un bien immobilier meublé destiné par ailleurs à la location saisonnière, vous êtes redevable de la taxe d’habitation.</w:t>
      </w:r>
    </w:p>
    <w:p>
      <w:pPr>
        <w:spacing w:before="0" w:after="180" w:line="264" w:lineRule="auto"/>
        <w:ind w:firstLine="340"/>
        <w:jc w:val="both"/>
      </w:pPr>
      <w:r>
        <w:rPr>
          <w:rFonts w:ascii="Cambria" w:hAnsi="Cambria"/>
          <w:b w:val="0"/>
          <w:i w:val="0"/>
          <w:color w:val="141A21"/>
          <w:sz w:val="22"/>
        </w:rPr>
        <w:t>Si vous êtes locataire d’un bien immobilier meublé pour plus de quelques semaines et que vous êtes présent dans les murs au 1er janvier, vous êtes redevables de la taxe d’habitation.</w:t>
      </w:r>
    </w:p>
    <w:p>
      <w:pPr>
        <w:pStyle w:val="Heading3"/>
        <w:spacing w:before="400" w:after="100" w:line="276" w:lineRule="auto"/>
      </w:pPr>
      <w:r>
        <w:rPr>
          <w:rFonts w:ascii="Calibri" w:hAnsi="Calibri"/>
          <w:b/>
          <w:i w:val="0"/>
          <w:color w:val="141A21"/>
          <w:sz w:val="27"/>
        </w:rPr>
        <w:t>La CFE et les autres taxes locales</w:t>
      </w:r>
    </w:p>
    <w:p>
      <w:pPr>
        <w:spacing w:before="0" w:after="180" w:line="264" w:lineRule="auto"/>
        <w:jc w:val="both"/>
      </w:pPr>
      <w:r>
        <w:rPr>
          <w:rFonts w:ascii="Cambria" w:hAnsi="Cambria"/>
          <w:b w:val="0"/>
          <w:i w:val="0"/>
          <w:color w:val="141A21"/>
          <w:sz w:val="22"/>
        </w:rPr>
        <w:t>La contribution foncière des entreprises dite CFE, est une taxe composante de la contribution économique territoriale, CET, qui comprend également la cotisation sur la valeur ajoutée des entreprises, CVAE. La CET a été introduite dans le paysage des « taxations » des entreprises en 2010 en remplacement de la très contestée « taxe professionnelle ». Cette imposition est redevable par toutes les entreprises commerciales ce qui à l’époque a rajouter les SCI et les LMNP dans son giron. Généralement les loueurs en meublé ne sont pas assujettis à la CVAE, puisqu’il faut générer plus de 500 K€ de chiffre d’affaires hors taxe par an. Néanmoins les loueurs en meublé, professionnels ou non, sont en principe assujettis à la CFE qu’ils déclarent leurs revenus au régime du réel ou du micro sauf lorsqu’ils donnent leur bien immobilier meublé à un exploitant de résidences de services car ce dernier est normalement redevable directement de la CFE sur les biens immobiliers meublés qu’il loue. Si vous êtes dans ce dernier cas il convient de faire une demande d’exonération auprès du centre des impôts de votre juridiction car dans la pratique les centres des impôts retiennent l’assujettissement de cette taxe dès que vous vous inscrivez via le formulaire obligatoire POi de déclaration d’activité en loueur en meublé. L’Administration « rattrape » les loueurs en meublé se déclarant au régime de micro sur plusieurs années.</w:t>
      </w:r>
    </w:p>
    <w:p>
      <w:pPr>
        <w:spacing w:before="0" w:after="180" w:line="264" w:lineRule="auto"/>
        <w:ind w:firstLine="340"/>
        <w:jc w:val="both"/>
      </w:pPr>
      <w:r>
        <w:rPr>
          <w:rFonts w:ascii="Cambria" w:hAnsi="Cambria"/>
          <w:b w:val="0"/>
          <w:i w:val="0"/>
          <w:color w:val="141A21"/>
          <w:sz w:val="22"/>
        </w:rPr>
        <w:t>La CFE se calcule en fonction de la valeur locative des biens immobiliers d’après laquelle on appliqué un taux d’imposition déterminé par les collectivités locales bénéficiaires. Une cotisation minimale est définie.</w:t>
      </w:r>
    </w:p>
    <w:p>
      <w:pPr>
        <w:spacing w:before="0" w:after="180" w:line="264" w:lineRule="auto"/>
        <w:ind w:firstLine="340"/>
        <w:jc w:val="both"/>
      </w:pPr>
      <w:r>
        <w:rPr>
          <w:rFonts w:ascii="Cambria" w:hAnsi="Cambria"/>
          <w:b w:val="0"/>
          <w:i w:val="0"/>
          <w:color w:val="141A21"/>
          <w:sz w:val="22"/>
        </w:rPr>
        <w:t>La CFE doit être télé-déclarée si vous êtes sous le régime d’imposition au réel et payée le 15 décembre de chaque année si votre activité de loueur en meublé est existante au 1er janvier de l’année. Elle est due dans chaque commune où vous posséder des biens immobiliers mais une seule cotisation minimale peut vous être appelée.</w:t>
      </w:r>
    </w:p>
    <w:p>
      <w:pPr>
        <w:spacing w:before="0" w:after="180" w:line="264" w:lineRule="auto"/>
        <w:ind w:firstLine="340"/>
        <w:jc w:val="both"/>
      </w:pPr>
      <w:r>
        <w:rPr>
          <w:rFonts w:ascii="Cambria" w:hAnsi="Cambria"/>
          <w:b w:val="0"/>
          <w:i w:val="0"/>
          <w:color w:val="141A21"/>
          <w:sz w:val="22"/>
        </w:rPr>
        <w:t>Dans les zones franches urbaines, les zones de redynamisation urbaine et les zones de revitalisation rurale, les investisseurs sont exonérés de CFE pendant 5 ans et bénéficient d’abattement de la 6ème à la 8ème année.</w:t>
      </w:r>
    </w:p>
    <w:p>
      <w:pPr>
        <w:spacing w:before="0" w:after="180" w:line="264" w:lineRule="auto"/>
        <w:ind w:firstLine="340"/>
        <w:jc w:val="both"/>
      </w:pPr>
      <w:r>
        <w:rPr>
          <w:rFonts w:ascii="Cambria" w:hAnsi="Cambria"/>
          <w:b w:val="0"/>
          <w:i w:val="0"/>
          <w:color w:val="141A21"/>
          <w:sz w:val="22"/>
        </w:rPr>
        <w:t>Petit focus si vous louez votre résidence principale ou secondaire partiellement vous êtes en principe exonéré, sauf décision contraire des collectivités territoriales.</w:t>
      </w:r>
    </w:p>
    <w:p>
      <w:pPr>
        <w:spacing w:before="0" w:after="180" w:line="264" w:lineRule="auto"/>
        <w:ind w:firstLine="340"/>
        <w:jc w:val="both"/>
      </w:pPr>
      <w:r>
        <w:rPr>
          <w:rFonts w:ascii="Cambria" w:hAnsi="Cambria"/>
          <w:b w:val="0"/>
          <w:i w:val="0"/>
          <w:color w:val="141A21"/>
          <w:sz w:val="22"/>
        </w:rPr>
        <w:t>Cette taxation est retenue comme une charge déductible pour la détermination du résultat fiscal pour les assujettis au régime du réel d’imposition.</w:t>
      </w:r>
    </w:p>
    <w:p>
      <w:pPr>
        <w:spacing w:before="0" w:after="180" w:line="264" w:lineRule="auto"/>
        <w:ind w:firstLine="340"/>
        <w:jc w:val="both"/>
      </w:pPr>
      <w:r>
        <w:rPr>
          <w:rFonts w:ascii="Cambria" w:hAnsi="Cambria"/>
          <w:b w:val="0"/>
          <w:i w:val="0"/>
          <w:color w:val="141A21"/>
          <w:sz w:val="22"/>
        </w:rPr>
        <w:t>La taxe sur les locaux vacants n’est pas réclamée aux loueurs en meublé puisque par principe un local meublé n’est pas vacant.</w:t>
      </w:r>
    </w:p>
    <w:p>
      <w:pPr>
        <w:spacing w:before="0" w:after="180" w:line="264" w:lineRule="auto"/>
        <w:ind w:firstLine="340"/>
        <w:jc w:val="both"/>
      </w:pPr>
      <w:r>
        <w:rPr>
          <w:rFonts w:ascii="Cambria" w:hAnsi="Cambria"/>
          <w:b w:val="0"/>
          <w:i w:val="0"/>
          <w:color w:val="141A21"/>
          <w:sz w:val="22"/>
        </w:rPr>
        <w:t>La contribution sur les revenus locatifs dite CRL est due par les sociétés propriétaires d’immeubles de plus de 15 ans et non soumis à la TVA. La CRL est calculée sur le montant es recettes nettes perçues au taux de 2,50%. Cette taxe est à la charge du bailleur.</w:t>
      </w:r>
    </w:p>
    <w:p>
      <w:pPr>
        <w:spacing w:before="0" w:after="180" w:line="264" w:lineRule="auto"/>
        <w:ind w:firstLine="340"/>
        <w:jc w:val="both"/>
      </w:pPr>
      <w:r>
        <w:rPr>
          <w:rFonts w:ascii="Cambria" w:hAnsi="Cambria"/>
          <w:b w:val="0"/>
          <w:i w:val="0"/>
          <w:color w:val="141A21"/>
          <w:sz w:val="22"/>
        </w:rPr>
        <w:t>La contribution à l’audiovisuel public est due par tous les détenteurs d’un téléviseur au 1er janvier de chaque année. Les loueurs en meublé n’y échappent pas mais plusieurs méthodologies sont envisagées :</w:t>
      </w:r>
    </w:p>
    <w:p>
      <w:pPr>
        <w:spacing w:before="0" w:after="180" w:line="264" w:lineRule="auto"/>
        <w:ind w:firstLine="340"/>
        <w:jc w:val="both"/>
      </w:pPr>
      <w:r>
        <w:rPr>
          <w:rFonts w:ascii="Cambria" w:hAnsi="Cambria"/>
          <w:b w:val="0"/>
          <w:i w:val="0"/>
          <w:color w:val="141A21"/>
          <w:sz w:val="22"/>
        </w:rPr>
        <w:t>Le téléviseur est situé dans l’habitation principale de la personne qui loue en meublée une partie de son habitation, la contribution est réglée en même temps que la taxe d’habitation ;</w:t>
      </w:r>
    </w:p>
    <w:p>
      <w:pPr>
        <w:spacing w:before="0" w:after="180" w:line="264" w:lineRule="auto"/>
        <w:ind w:firstLine="340"/>
        <w:jc w:val="both"/>
      </w:pPr>
      <w:r>
        <w:rPr>
          <w:rFonts w:ascii="Cambria" w:hAnsi="Cambria"/>
          <w:b w:val="0"/>
          <w:i w:val="0"/>
          <w:color w:val="141A21"/>
          <w:sz w:val="22"/>
        </w:rPr>
        <w:t>Le téléviseur est situé dans un logement donné en location sans terme en habitation non saisonnière, le locataire doit s’acquitter de la contribution à l’audiovisuel public via sa propre taxe d’habitation ;</w:t>
      </w:r>
    </w:p>
    <w:p>
      <w:pPr>
        <w:spacing w:before="0" w:after="180" w:line="264" w:lineRule="auto"/>
        <w:ind w:firstLine="340"/>
        <w:jc w:val="both"/>
      </w:pPr>
      <w:r>
        <w:rPr>
          <w:rFonts w:ascii="Cambria" w:hAnsi="Cambria"/>
          <w:b w:val="0"/>
          <w:i w:val="0"/>
          <w:color w:val="141A21"/>
          <w:sz w:val="22"/>
        </w:rPr>
        <w:t>Le téléviseur est situé dans un bien meublé donné en location saisonnière de façon permanente, la contribution est due en la déclarant sur une déclaration de TVA, soit sur celle du mois de mars ou du 1er trimestre de l’année si vous étés au régime du réel normal ou mini-réel ou sur celle du CA12 si vous êtes au régime du réel simplifié. Les autres cas déclarent et paient la contribution sur une déclaration ponctuelle (annexe 3310A).</w:t>
      </w:r>
    </w:p>
    <w:p>
      <w:pPr>
        <w:spacing w:before="0" w:after="180" w:line="264" w:lineRule="auto"/>
        <w:ind w:firstLine="340"/>
        <w:jc w:val="both"/>
      </w:pPr>
      <w:r>
        <w:rPr>
          <w:rFonts w:ascii="Cambria" w:hAnsi="Cambria"/>
          <w:b w:val="0"/>
          <w:i w:val="0"/>
          <w:color w:val="141A21"/>
          <w:sz w:val="22"/>
        </w:rPr>
        <w:t>Si vous louez à un exploitant de résidences de tourisme comme vu précédemment, la contribution est due par l’exploitant qui bénéficie de tarifs dégressifs.</w:t>
      </w:r>
    </w:p>
    <w:p>
      <w:pPr>
        <w:spacing w:before="0" w:after="180" w:line="264" w:lineRule="auto"/>
        <w:ind w:firstLine="340"/>
        <w:jc w:val="both"/>
      </w:pPr>
      <w:r>
        <w:rPr>
          <w:rFonts w:ascii="Cambria" w:hAnsi="Cambria"/>
          <w:b w:val="0"/>
          <w:i w:val="0"/>
          <w:color w:val="141A21"/>
          <w:sz w:val="22"/>
        </w:rPr>
        <w:t>La taxe de séjour est due aux stations classées, les communes littorales et de montagnes et certaines villes thermales en application de l’article L. 422-3 du code du tourisme. Elle est payée par les touristes. Cette taxe est décidée par les communes d’implantation des établissements d’hébergement. La commune peut décider d’assujettir à la taxe de séjour classique ou forfaitaire les différents établissements pour une période soit limitée à la saison touristique ou sur l’année. Les locations meublées en tourisme classé et les chambres d’hôtes sont concernés par cette taxe. Le loueur facture soit la taxe de séjour à la nuitée à ses clients et fait figurer distinctement ce cout sur sa facture ou au forfait et il indique sur sa facture la mention « taxe de séjour forfaitairement comprise ».</w:t>
      </w:r>
    </w:p>
    <w:p>
      <w:pPr>
        <w:spacing w:before="0" w:after="180" w:line="264" w:lineRule="auto"/>
        <w:ind w:firstLine="340"/>
        <w:jc w:val="both"/>
      </w:pPr>
      <w:r>
        <w:rPr>
          <w:rFonts w:ascii="Cambria" w:hAnsi="Cambria"/>
          <w:b w:val="0"/>
          <w:i w:val="0"/>
          <w:color w:val="141A21"/>
          <w:sz w:val="22"/>
        </w:rPr>
        <w:t>Le cout de la taxe est fixé par la commune et est compris principalement entre 20 centimes et 3 euros par nuitée et par personne en fonction de qualité de l’hébergement. Les modalités de calculs et de recouvrement sont fixées par la commune.</w:t>
      </w:r>
    </w:p>
    <w:p>
      <w:pPr>
        <w:spacing w:before="0" w:after="180" w:line="264" w:lineRule="auto"/>
        <w:ind w:firstLine="340"/>
        <w:jc w:val="both"/>
      </w:pPr>
      <w:r>
        <w:rPr>
          <w:rFonts w:ascii="Cambria" w:hAnsi="Cambria"/>
          <w:b w:val="0"/>
          <w:i w:val="0"/>
          <w:color w:val="141A21"/>
          <w:sz w:val="22"/>
        </w:rPr>
        <w:t>La taxe annuelle sur les micro-surfaces vides ou louées pour une durée d’au moins 9 mois inférieures à 14 m² sont dues par les propriétaires, personnes physiques, des biens immobiliers situés dans les grandes agglomérations. Cette taxe ce calcule sur les loyers annuels bruts perçus auxquels s’appliquent un coefficient revisité par chaque année.</w:t>
      </w:r>
    </w:p>
    <w:p>
      <w:pPr>
        <w:pStyle w:val="Heading3"/>
        <w:spacing w:before="400" w:after="100" w:line="276" w:lineRule="auto"/>
      </w:pPr>
      <w:r>
        <w:rPr>
          <w:rFonts w:ascii="Calibri" w:hAnsi="Calibri"/>
          <w:b/>
          <w:i w:val="0"/>
          <w:color w:val="141A21"/>
          <w:sz w:val="27"/>
        </w:rPr>
        <w:t>Vers le patrimoine en sociétés</w:t>
      </w:r>
    </w:p>
    <w:p>
      <w:pPr>
        <w:spacing w:before="0" w:after="180" w:line="264" w:lineRule="auto"/>
        <w:jc w:val="both"/>
      </w:pPr>
      <w:r>
        <w:rPr>
          <w:rFonts w:ascii="Cambria" w:hAnsi="Cambria"/>
          <w:b w:val="0"/>
          <w:i w:val="0"/>
          <w:color w:val="141A21"/>
          <w:sz w:val="22"/>
        </w:rPr>
        <w:t>Mon intérêt pour l’immobilier est évidemment né au début de ma vie professionnelle lorsque j’ai travaillé pour ce promoteur antillais mais j’ai organisé mon patrimoine immobilier en société lorsque j’ai étudié la foncière de la famille DE ROSCHTCHILD.</w:t>
      </w:r>
    </w:p>
    <w:p>
      <w:pPr>
        <w:spacing w:before="0" w:after="180" w:line="264" w:lineRule="auto"/>
        <w:ind w:firstLine="340"/>
        <w:jc w:val="both"/>
      </w:pPr>
      <w:r>
        <w:rPr>
          <w:rFonts w:ascii="Cambria" w:hAnsi="Cambria"/>
          <w:b w:val="0"/>
          <w:i w:val="0"/>
          <w:color w:val="141A21"/>
          <w:sz w:val="22"/>
        </w:rPr>
        <w:t>Cette famille représentée par une société crée il y a plusieurs centaine d’années a permit aux descendants du fondateur d’être à la tête d’un empire immobilier qui n’a pas été « disséqué » au fur et à mesure des héritages car les biens immobiliers appartenant à la société , personne morale, et tant que cette dernière existe on ne passe pas chez le notaire en cas de décès d’une personne physique à la différence des biens immobiliers détenus en nom propre.</w:t>
      </w:r>
    </w:p>
    <w:p>
      <w:pPr>
        <w:spacing w:before="0" w:after="180" w:line="264" w:lineRule="auto"/>
        <w:ind w:firstLine="340"/>
        <w:jc w:val="both"/>
      </w:pPr>
      <w:r>
        <w:rPr>
          <w:rFonts w:ascii="Cambria" w:hAnsi="Cambria"/>
          <w:b w:val="0"/>
          <w:i w:val="0"/>
          <w:color w:val="141A21"/>
          <w:sz w:val="22"/>
        </w:rPr>
        <w:t>Cette analyse m’a également permis de constater le pouvoir du droit des sociétés et de sa retranscription dans les statuts afin de prévoir le fonctionnement et le mécanisme du pouvoir de gestion a l’avance Grace aux statuts bien rédiges.</w:t>
      </w:r>
    </w:p>
    <w:p>
      <w:pPr>
        <w:spacing w:before="0" w:after="180" w:line="264" w:lineRule="auto"/>
        <w:ind w:firstLine="340"/>
        <w:jc w:val="both"/>
      </w:pPr>
      <w:r>
        <w:rPr>
          <w:rFonts w:ascii="Cambria" w:hAnsi="Cambria"/>
          <w:b w:val="0"/>
          <w:i w:val="0"/>
          <w:color w:val="141A21"/>
          <w:sz w:val="22"/>
        </w:rPr>
        <w:t>Mickael ZONTA crie « vive l’immobilier, vive la rente » pour ma part c’est plutôt « vive l’immobilier pour le long terme, vive le patrimoine en sociétés ».</w:t>
      </w:r>
    </w:p>
    <w:p>
      <w:r>
        <w:br w:type="page"/>
      </w:r>
    </w:p>
    <w:p>
      <w:pPr>
        <w:pStyle w:val="Heading1"/>
        <w:spacing w:before="800" w:after="160" w:line="276" w:lineRule="auto"/>
      </w:pPr>
      <w:r>
        <w:rPr>
          <w:rFonts w:ascii="Calibri" w:hAnsi="Calibri"/>
          <w:b/>
          <w:i w:val="0"/>
          <w:color w:val="3A5488"/>
          <w:sz w:val="48"/>
        </w:rPr>
        <w:t>Partie III — Le monde des sociétés</w:t>
      </w:r>
    </w:p>
    <w:p>
      <w:r>
        <w:br w:type="page"/>
      </w:r>
    </w:p>
    <w:p>
      <w:pPr>
        <w:pStyle w:val="Heading2"/>
        <w:spacing w:before="240" w:after="200" w:line="276" w:lineRule="auto"/>
      </w:pPr>
      <w:r>
        <w:rPr>
          <w:rFonts w:ascii="Calibri" w:hAnsi="Calibri"/>
          <w:b/>
          <w:i w:val="0"/>
          <w:color w:val="3A5488"/>
          <w:sz w:val="36"/>
        </w:rPr>
        <w:t>Chapitre 10 — La création d'une société</w:t>
      </w:r>
    </w:p>
    <w:p>
      <w:pPr>
        <w:pStyle w:val="Heading3"/>
        <w:spacing w:before="400" w:after="100" w:line="276" w:lineRule="auto"/>
      </w:pPr>
      <w:r>
        <w:rPr>
          <w:rFonts w:ascii="Calibri" w:hAnsi="Calibri"/>
          <w:b/>
          <w:i w:val="0"/>
          <w:color w:val="141A21"/>
          <w:sz w:val="27"/>
        </w:rPr>
        <w:t>Principes généraux : qu'est-ce qu'une société ?</w:t>
      </w:r>
    </w:p>
    <w:p>
      <w:pPr>
        <w:spacing w:before="0" w:after="180" w:line="264" w:lineRule="auto"/>
        <w:jc w:val="both"/>
      </w:pPr>
      <w:r>
        <w:rPr>
          <w:rFonts w:ascii="Cambria" w:hAnsi="Cambria"/>
          <w:b w:val="0"/>
          <w:i w:val="0"/>
          <w:color w:val="141A21"/>
          <w:sz w:val="22"/>
        </w:rPr>
        <w:t>La définition du dictionnaire LAROUSSE :</w:t>
      </w:r>
    </w:p>
    <w:p>
      <w:pPr>
        <w:spacing w:before="0" w:after="180" w:line="264" w:lineRule="auto"/>
        <w:ind w:firstLine="340"/>
        <w:jc w:val="both"/>
      </w:pPr>
      <w:r>
        <w:rPr>
          <w:rFonts w:ascii="Cambria" w:hAnsi="Cambria"/>
          <w:b w:val="0"/>
          <w:i w:val="0"/>
          <w:color w:val="141A21"/>
          <w:sz w:val="22"/>
        </w:rPr>
        <w:t>En latin sociétas</w:t>
      </w:r>
    </w:p>
    <w:p>
      <w:pPr>
        <w:spacing w:before="0" w:after="180" w:line="264" w:lineRule="auto"/>
        <w:ind w:firstLine="340"/>
        <w:jc w:val="both"/>
      </w:pPr>
      <w:r>
        <w:rPr>
          <w:rFonts w:ascii="Cambria" w:hAnsi="Cambria"/>
          <w:b w:val="0"/>
          <w:i w:val="0"/>
          <w:color w:val="141A21"/>
          <w:sz w:val="22"/>
        </w:rPr>
        <w:t>Etat des hommes ou des animaux vivants sous des lois communes ;</w:t>
      </w:r>
    </w:p>
    <w:p>
      <w:pPr>
        <w:spacing w:before="0" w:after="180" w:line="264" w:lineRule="auto"/>
        <w:ind w:firstLine="340"/>
        <w:jc w:val="both"/>
      </w:pPr>
      <w:r>
        <w:rPr>
          <w:rFonts w:ascii="Cambria" w:hAnsi="Cambria"/>
          <w:b w:val="0"/>
          <w:i w:val="0"/>
          <w:color w:val="141A21"/>
          <w:sz w:val="22"/>
        </w:rPr>
        <w:t>Réunions d’hommes ou d’animaux soumis à des lois communes ;</w:t>
      </w:r>
    </w:p>
    <w:p>
      <w:pPr>
        <w:spacing w:before="0" w:after="180" w:line="264" w:lineRule="auto"/>
        <w:ind w:firstLine="340"/>
        <w:jc w:val="both"/>
      </w:pPr>
      <w:r>
        <w:rPr>
          <w:rFonts w:ascii="Cambria" w:hAnsi="Cambria"/>
          <w:b w:val="0"/>
          <w:i w:val="0"/>
          <w:color w:val="141A21"/>
          <w:sz w:val="22"/>
        </w:rPr>
        <w:t>Union de plusieurs personnes soumises à un règlement commun ;</w:t>
      </w:r>
    </w:p>
    <w:p>
      <w:pPr>
        <w:spacing w:before="0" w:after="180" w:line="264" w:lineRule="auto"/>
        <w:ind w:firstLine="340"/>
        <w:jc w:val="both"/>
      </w:pPr>
      <w:r>
        <w:rPr>
          <w:rFonts w:ascii="Cambria" w:hAnsi="Cambria"/>
          <w:b w:val="0"/>
          <w:i w:val="0"/>
          <w:color w:val="141A21"/>
          <w:sz w:val="22"/>
        </w:rPr>
        <w:t>Réunion de gens qui s’assemblent pour la conversation, le jeu ou d’autres plaisirs ;</w:t>
      </w:r>
    </w:p>
    <w:p>
      <w:pPr>
        <w:spacing w:before="0" w:after="180" w:line="264" w:lineRule="auto"/>
        <w:ind w:firstLine="340"/>
        <w:jc w:val="both"/>
      </w:pPr>
      <w:r>
        <w:rPr>
          <w:rFonts w:ascii="Cambria" w:hAnsi="Cambria"/>
          <w:b w:val="0"/>
          <w:i w:val="0"/>
          <w:color w:val="141A21"/>
          <w:sz w:val="22"/>
        </w:rPr>
        <w:t>Société commerciale = Association entre plusieurs personnes en vue de réaliser des bénéfices résultant d’actes de commerces ;</w:t>
      </w:r>
    </w:p>
    <w:p>
      <w:pPr>
        <w:spacing w:before="0" w:after="180" w:line="264" w:lineRule="auto"/>
        <w:ind w:firstLine="340"/>
        <w:jc w:val="both"/>
      </w:pPr>
      <w:r>
        <w:rPr>
          <w:rFonts w:ascii="Cambria" w:hAnsi="Cambria"/>
          <w:b w:val="0"/>
          <w:i w:val="0"/>
          <w:color w:val="141A21"/>
          <w:sz w:val="22"/>
        </w:rPr>
        <w:t>Société civile = association n’ayant pas pour objet des actes de commerce ;</w:t>
      </w:r>
    </w:p>
    <w:p>
      <w:pPr>
        <w:spacing w:before="0" w:after="180" w:line="264" w:lineRule="auto"/>
        <w:ind w:firstLine="340"/>
        <w:jc w:val="both"/>
      </w:pPr>
      <w:r>
        <w:rPr>
          <w:rFonts w:ascii="Cambria" w:hAnsi="Cambria"/>
          <w:b w:val="0"/>
          <w:i w:val="0"/>
          <w:color w:val="141A21"/>
          <w:sz w:val="22"/>
        </w:rPr>
        <w:t>Règles qui donnent les moyens de partager une somme entre plusieurs associés d’après la quotité de leur mise.</w:t>
      </w:r>
    </w:p>
    <w:p>
      <w:pPr>
        <w:spacing w:before="0" w:after="180" w:line="264" w:lineRule="auto"/>
        <w:ind w:firstLine="340"/>
        <w:jc w:val="both"/>
      </w:pPr>
      <w:r>
        <w:rPr>
          <w:rFonts w:ascii="Cambria" w:hAnsi="Cambria"/>
          <w:b w:val="0"/>
          <w:i w:val="0"/>
          <w:color w:val="141A21"/>
          <w:sz w:val="22"/>
        </w:rPr>
        <w:t>On retiendra qu’étymologiquement il faut être plusieurs personnes, associés, acceptant l’application de règles communes dans l’objectif de réalisé un projet commun engendrant un bénéfice qu’il sera bon de partager entre les associés au prorata de la mise de fonds investie par chacun.</w:t>
      </w:r>
    </w:p>
    <w:p>
      <w:pPr>
        <w:spacing w:before="0" w:after="180" w:line="264" w:lineRule="auto"/>
        <w:ind w:firstLine="340"/>
        <w:jc w:val="both"/>
      </w:pPr>
      <w:r>
        <w:rPr>
          <w:rFonts w:ascii="Cambria" w:hAnsi="Cambria"/>
          <w:b w:val="0"/>
          <w:i w:val="0"/>
          <w:color w:val="141A21"/>
          <w:sz w:val="22"/>
        </w:rPr>
        <w:t>Nous allons commencer par du droit et plus loin dans cet ouvrage vous trouverez des cas que j’ai rencontrés dans ma vie professionnelle et de magistrat.</w:t>
      </w:r>
    </w:p>
    <w:p>
      <w:pPr>
        <w:spacing w:before="0" w:after="180" w:line="264" w:lineRule="auto"/>
        <w:ind w:firstLine="340"/>
        <w:jc w:val="both"/>
      </w:pPr>
      <w:r>
        <w:rPr>
          <w:rFonts w:ascii="Cambria" w:hAnsi="Cambria"/>
          <w:b w:val="0"/>
          <w:i w:val="0"/>
          <w:color w:val="141A21"/>
          <w:sz w:val="22"/>
        </w:rPr>
        <w:t>Pour illustration voila quelques références principales juridiques :</w:t>
      </w:r>
    </w:p>
    <w:p>
      <w:pPr>
        <w:spacing w:before="0" w:after="180" w:line="264" w:lineRule="auto"/>
        <w:ind w:firstLine="340"/>
        <w:jc w:val="both"/>
      </w:pPr>
      <w:r>
        <w:rPr>
          <w:rFonts w:ascii="Cambria" w:hAnsi="Cambria"/>
          <w:b w:val="0"/>
          <w:i w:val="0"/>
          <w:color w:val="141A21"/>
          <w:sz w:val="22"/>
        </w:rPr>
        <w:t>Le code civil par son article 1832 dispose que :</w:t>
      </w:r>
    </w:p>
    <w:p>
      <w:pPr>
        <w:spacing w:before="200" w:after="240" w:line="288" w:lineRule="auto"/>
        <w:ind w:left="397"/>
        <w:jc w:val="both"/>
        <w:pBdr>
          <w:left w:val="single" w:sz="18" w:space="10" w:color="b08d3e"/>
        </w:pBdr>
      </w:pPr>
      <w:r>
        <w:rPr>
          <w:rFonts w:ascii="Cambria" w:hAnsi="Cambria"/>
          <w:b w:val="0"/>
          <w:i/>
          <w:color w:val="3C3A34"/>
          <w:sz w:val="21"/>
        </w:rPr>
        <w:t>« La société est instituée par deux ou plusieurs personnes qui conviennent par un contrat d’affecter à une entreprise commune des biens ou leur industrie en vue de partager le bénéfice ou de profiter de l’économie qui pourra en résulter. Elle peut être instituée, dans les cas prévus par la loi, par l’acte de volonté d’une seule personne. Les associés s’engagent à contribuer aux pertes. »</w:t>
      </w:r>
    </w:p>
    <w:p>
      <w:pPr>
        <w:spacing w:before="0" w:after="180" w:line="264" w:lineRule="auto"/>
        <w:ind w:firstLine="340"/>
        <w:jc w:val="both"/>
      </w:pPr>
      <w:r>
        <w:rPr>
          <w:rFonts w:ascii="Cambria" w:hAnsi="Cambria"/>
          <w:b w:val="0"/>
          <w:i w:val="0"/>
          <w:color w:val="141A21"/>
          <w:sz w:val="22"/>
        </w:rPr>
        <w:t>La volonté commune de s’associer, exclusive de tout lien de subordination, est une condition essentielle de l’existence d’une société, c’est ce que le droit dénomme l’affectio societatis.</w:t>
      </w:r>
    </w:p>
    <w:p>
      <w:pPr>
        <w:spacing w:before="0" w:after="180" w:line="264" w:lineRule="auto"/>
        <w:ind w:firstLine="340"/>
        <w:jc w:val="both"/>
      </w:pPr>
      <w:r>
        <w:rPr>
          <w:rFonts w:ascii="Cambria" w:hAnsi="Cambria"/>
          <w:b w:val="0"/>
          <w:i w:val="0"/>
          <w:color w:val="141A21"/>
          <w:sz w:val="22"/>
        </w:rPr>
        <w:t>Le code civil par son article 1833 dispose que :</w:t>
      </w:r>
    </w:p>
    <w:p>
      <w:pPr>
        <w:spacing w:before="200" w:after="240" w:line="288" w:lineRule="auto"/>
        <w:ind w:left="397"/>
        <w:jc w:val="both"/>
        <w:pBdr>
          <w:left w:val="single" w:sz="18" w:space="10" w:color="b08d3e"/>
        </w:pBdr>
      </w:pPr>
      <w:r>
        <w:rPr>
          <w:rFonts w:ascii="Cambria" w:hAnsi="Cambria"/>
          <w:b w:val="0"/>
          <w:i/>
          <w:color w:val="3C3A34"/>
          <w:sz w:val="21"/>
        </w:rPr>
        <w:t>« Toute société doit avoir un objet licite et être constituée dans l’intérêt des associés. »</w:t>
      </w:r>
    </w:p>
    <w:p>
      <w:pPr>
        <w:spacing w:before="0" w:after="180" w:line="264" w:lineRule="auto"/>
        <w:ind w:firstLine="340"/>
        <w:jc w:val="both"/>
      </w:pPr>
      <w:r>
        <w:rPr>
          <w:rFonts w:ascii="Cambria" w:hAnsi="Cambria"/>
          <w:b w:val="0"/>
          <w:i w:val="0"/>
          <w:color w:val="141A21"/>
          <w:sz w:val="22"/>
        </w:rPr>
        <w:t>Le code civil par son article 1834 dispose que :</w:t>
      </w:r>
    </w:p>
    <w:p>
      <w:pPr>
        <w:spacing w:before="200" w:after="240" w:line="288" w:lineRule="auto"/>
        <w:ind w:left="397"/>
        <w:jc w:val="both"/>
        <w:pBdr>
          <w:left w:val="single" w:sz="18" w:space="10" w:color="b08d3e"/>
        </w:pBdr>
      </w:pPr>
      <w:r>
        <w:rPr>
          <w:rFonts w:ascii="Cambria" w:hAnsi="Cambria"/>
          <w:b w:val="0"/>
          <w:i/>
          <w:color w:val="3C3A34"/>
          <w:sz w:val="21"/>
        </w:rPr>
        <w:t>« Les dispositions du présent chapitre sont applicables à toutes les sociétés s’il n’en est autrement disposé par la loi en raison de leur forme ou de leur objet. »</w:t>
      </w:r>
    </w:p>
    <w:p>
      <w:pPr>
        <w:spacing w:before="0" w:after="180" w:line="264" w:lineRule="auto"/>
        <w:ind w:firstLine="340"/>
        <w:jc w:val="both"/>
      </w:pPr>
      <w:r>
        <w:rPr>
          <w:rFonts w:ascii="Cambria" w:hAnsi="Cambria"/>
          <w:b w:val="0"/>
          <w:i w:val="0"/>
          <w:color w:val="141A21"/>
          <w:sz w:val="22"/>
        </w:rPr>
        <w:t>Le code de commerce par son article L. 210-1 dispose que :</w:t>
      </w:r>
    </w:p>
    <w:p>
      <w:pPr>
        <w:spacing w:before="200" w:after="240" w:line="288" w:lineRule="auto"/>
        <w:ind w:left="397"/>
        <w:jc w:val="both"/>
        <w:pBdr>
          <w:left w:val="single" w:sz="18" w:space="10" w:color="b08d3e"/>
        </w:pBdr>
      </w:pPr>
      <w:r>
        <w:rPr>
          <w:rFonts w:ascii="Cambria" w:hAnsi="Cambria"/>
          <w:b w:val="0"/>
          <w:i/>
          <w:color w:val="3C3A34"/>
          <w:sz w:val="21"/>
        </w:rPr>
        <w:t>« Le caractère commercial d’une société est déterminée par sa forme ou par son objet. Sont commerciales à raison de leur forme et quel que soit leur objet, les sociétés en nom collectif, les sociétés en commandite simple, les sociétés à responsabilité limitée et les sociétés par actions ». Le code de commerce par son article L. 210-2 dispose que : « La forme, la durée qui ne peut excéder quatre-vingt-dix-neuf ans, la dénomination sociale, le siège social, l’objet social et l montant du capital social sont déterminés par les statuts de la société ».</w:t>
      </w:r>
    </w:p>
    <w:p>
      <w:pPr>
        <w:pStyle w:val="Heading3"/>
        <w:spacing w:before="400" w:after="100" w:line="276" w:lineRule="auto"/>
      </w:pPr>
      <w:r>
        <w:rPr>
          <w:rFonts w:ascii="Calibri" w:hAnsi="Calibri"/>
          <w:b/>
          <w:i w:val="0"/>
          <w:color w:val="141A21"/>
          <w:sz w:val="27"/>
        </w:rPr>
        <w:t>Les mentions essentielles des statuts</w:t>
      </w:r>
    </w:p>
    <w:p>
      <w:pPr>
        <w:spacing w:before="0" w:after="180" w:line="264" w:lineRule="auto"/>
        <w:jc w:val="both"/>
      </w:pPr>
      <w:r>
        <w:rPr>
          <w:rFonts w:ascii="Cambria" w:hAnsi="Cambria"/>
          <w:b w:val="0"/>
          <w:i w:val="0"/>
          <w:color w:val="141A21"/>
          <w:sz w:val="22"/>
        </w:rPr>
        <w:t>Petit focus :</w:t>
      </w:r>
    </w:p>
    <w:p>
      <w:pPr>
        <w:spacing w:before="0" w:after="180" w:line="264" w:lineRule="auto"/>
        <w:ind w:firstLine="340"/>
        <w:jc w:val="both"/>
      </w:pPr>
      <w:r>
        <w:rPr>
          <w:rFonts w:ascii="Cambria" w:hAnsi="Cambria"/>
          <w:b w:val="0"/>
          <w:i w:val="0"/>
          <w:color w:val="141A21"/>
          <w:sz w:val="22"/>
        </w:rPr>
        <w:t>Sur la forme : nous verrons dans un paragraphe suivant, plus particulièrement des formes juridiques le plus utilisées pour démarrer son activité ; ce qu’il faut bien comprendre c’est que la forme juridique retenue va engendrer des règles de fonctionnement différentes.</w:t>
      </w:r>
    </w:p>
    <w:p>
      <w:pPr>
        <w:spacing w:before="0" w:after="180" w:line="264" w:lineRule="auto"/>
        <w:ind w:firstLine="340"/>
        <w:jc w:val="both"/>
      </w:pPr>
      <w:r>
        <w:rPr>
          <w:rFonts w:ascii="Cambria" w:hAnsi="Cambria"/>
          <w:b w:val="0"/>
          <w:i w:val="0"/>
          <w:color w:val="141A21"/>
          <w:sz w:val="22"/>
        </w:rPr>
        <w:t>Sur la dénomination sociale, c'est-à-dire le nom « patronymique » de la société, ce nom sera indiqué sur l’extrait kbis de la société, c'est-à-dire sa carte d’identité, et c’est ce nom qui figurera sur les documents officiels , en opposition à « nom commercial » qui figure également sur le kbis, mais à titre d’information et écrit tout petit, qui ne sert qu’à communiquer que sur les supports commerciaux, enseignes, papier en-tête, goodies et autres objets publicitaires.</w:t>
      </w:r>
    </w:p>
    <w:p>
      <w:pPr>
        <w:spacing w:before="0" w:after="180" w:line="264" w:lineRule="auto"/>
        <w:ind w:firstLine="340"/>
        <w:jc w:val="both"/>
      </w:pPr>
      <w:r>
        <w:rPr>
          <w:rFonts w:ascii="Cambria" w:hAnsi="Cambria"/>
          <w:b w:val="0"/>
          <w:i w:val="0"/>
          <w:color w:val="141A21"/>
          <w:sz w:val="22"/>
        </w:rPr>
        <w:t>Sur le siège social :</w:t>
      </w:r>
    </w:p>
    <w:p>
      <w:pPr>
        <w:spacing w:before="0" w:after="180" w:line="264" w:lineRule="auto"/>
        <w:ind w:firstLine="340"/>
        <w:jc w:val="both"/>
      </w:pPr>
      <w:r>
        <w:rPr>
          <w:rFonts w:ascii="Cambria" w:hAnsi="Cambria"/>
          <w:b w:val="0"/>
          <w:i w:val="0"/>
          <w:color w:val="141A21"/>
          <w:sz w:val="22"/>
        </w:rPr>
        <w:t>Le code civil par son article 1837 dispose que :</w:t>
      </w:r>
    </w:p>
    <w:p>
      <w:pPr>
        <w:spacing w:before="200" w:after="240" w:line="288" w:lineRule="auto"/>
        <w:ind w:left="397"/>
        <w:jc w:val="both"/>
        <w:pBdr>
          <w:left w:val="single" w:sz="18" w:space="10" w:color="b08d3e"/>
        </w:pBdr>
      </w:pPr>
      <w:r>
        <w:rPr>
          <w:rFonts w:ascii="Cambria" w:hAnsi="Cambria"/>
          <w:b w:val="0"/>
          <w:i/>
          <w:color w:val="3C3A34"/>
          <w:sz w:val="21"/>
        </w:rPr>
        <w:t>« Toute société dont le siège est situé sur le territoire français est soumise aux dispositions de la loi française… »</w:t>
      </w:r>
    </w:p>
    <w:p>
      <w:pPr>
        <w:spacing w:before="0" w:after="180" w:line="264" w:lineRule="auto"/>
        <w:ind w:firstLine="340"/>
        <w:jc w:val="both"/>
      </w:pPr>
      <w:r>
        <w:rPr>
          <w:rFonts w:ascii="Cambria" w:hAnsi="Cambria"/>
          <w:b w:val="0"/>
          <w:i w:val="0"/>
          <w:color w:val="141A21"/>
          <w:sz w:val="22"/>
        </w:rPr>
        <w:t>La jurisprudence précise que le lieu du siège social est en règle générale celui où l’entreprise a principalement sa direction juridique, financière, administrative et technique et non celui où elle a seulement une exploitation et des organes à caractère secondaire</w:t>
      </w:r>
    </w:p>
    <w:p>
      <w:pPr>
        <w:spacing w:before="0" w:after="180" w:line="264" w:lineRule="auto"/>
        <w:ind w:firstLine="340"/>
        <w:jc w:val="both"/>
      </w:pPr>
      <w:r>
        <w:rPr>
          <w:rFonts w:ascii="Cambria" w:hAnsi="Cambria"/>
          <w:b w:val="0"/>
          <w:i w:val="0"/>
          <w:color w:val="141A21"/>
          <w:sz w:val="22"/>
        </w:rPr>
        <w:t>Le code de commerce par son article L. 123-10 dispose que :</w:t>
      </w:r>
    </w:p>
    <w:p>
      <w:pPr>
        <w:spacing w:before="200" w:after="240" w:line="288" w:lineRule="auto"/>
        <w:ind w:left="397"/>
        <w:jc w:val="both"/>
        <w:pBdr>
          <w:left w:val="single" w:sz="18" w:space="10" w:color="b08d3e"/>
        </w:pBdr>
      </w:pPr>
      <w:r>
        <w:rPr>
          <w:rFonts w:ascii="Cambria" w:hAnsi="Cambria"/>
          <w:b w:val="0"/>
          <w:i/>
          <w:color w:val="3C3A34"/>
          <w:sz w:val="21"/>
        </w:rPr>
        <w:t>« Les personnes physiques demandant leur immatriculation au registre du commerce et des sociétés ou au répertoire des métiers doivent déclarer l’adresse de leur entreprise et en justifier la jouissance. Elles peuvent notamment domicilier leur entreprise dans des locaux occupés en commun par plusieurs entreprises dans des conditions fixées par décret en Conseil d’Etat. Ce décret précise, en outre, les équipements ou services requis pour justifier la réalité de l’installation de l’entreprise domiciliée. Les personnes physiques peuvent déclarer l’adresse de leur local d’habitation et y exercer une activité, dès lors qu’aucune disposition législative ou stipulation contractuelle ne s’y oppose. Lorsqu’elles ne disposent pas d’un établissement, les personnes physiques peuvent, à titre exclusif d’adresse de l’entreprise, déclarer celle de leur local d’habitation. Cette déclaration n’entraîne ni changement d’affectation des locaux, ni application du statut des baux commerciaux ». Le code de commerce par son article 123-11 dispose que : « Toute personne morale demandant son immatriculation au registre du commerce er des sociétés doit justifier de la jouissance du ou des locaux où elle s’installe, seule ou avec d’autres, le siège de l’entreprise, ou, lorsque celui-ci est situé à l’étranger, l’agence, la succursale ou la représentation établie sur le territoire français. La domiciliation d’une entreprise dans des locaux occupés en commun par plusieurs entreprises est autorisée dans des conditions fixées par décret en Conseil d’Etat. Ce décret précise, en outre, les équipements ou services requis pour justifier la réalité du siège de l’entreprise domiciliée. L’activité de domiciliataire ne peut être exercée dans un local à usage d’habitation principale ou à usage mixte professionnel ». Le code de commerce par son article 123-11-1 dispose que : « Toute personne morale est autorisée à installer son siège au domicile de son représentant légal et y exercer une acticité, sauf dispositions législatives ou stipulation contractuelles contraires. Lorsque la personne morale est soumise à des dispositions législatives ou stipulations contractuelles mentionnées à l’alinéa précédent, son représentant légal peut en installer le siège à son domicile, pour une durée ne pouvant excéder cinq ans à compter de la création de celle-ci ni dépasser le terme légal, contractuel ou judicaire de l’occupation des locaux. Dans ce cas, elle doit, prealablement au dépota de sa demande d’immatriculation ou de modification d’immatriculation, notifier par écrit au bailleur, au syndicat de la copropriété ou au repentant de l’ensemble immobilier son intention d’user de la faculté ainsi prévue. Avant l’expiration de la période mentionnée au deuxième alinéa, la personne doit, sous peine de radiation d’office, communiquer au greffe du tribunal les éléments justifiant son changement de situation, selon les modalités fixées par decret en Conseil d’Etat. Il ne peut résulter des dispositions du présent article, ni le changeant de destination de l’immeuble, ni l’application du statut des baux commerciaux ». Sur l’objet social : il doit correspondre à l’activité exercée par la société. Parfois il est imposé comme pour des sociétés d’exercice de professions réglementées comme les médecins, les agents immobiliers ou les experts-comptables. Néanmoins il est libre et il est donc déterminé par les associés à la rédaction des statuts. Pour ma part je préconise souvent à mes clients de déterminer UNE activité pour leur société et de convenir de ce fait d’UN objet social, ceci simplifie la comptabilité et donc sa justification vis à vis de l’Administration. Il ne faut pas par contre que cet objet soit bloquant pour le développement de la structure entrepreneuriale, donc quelques clauses sont toutefois à ne pas oublier Mais il faut lutter contre les objets imprécis, ceux qui sont trop souvent « dictés » par les statuts tout faits que l’on trouve sur internet car s’il l’objet n’est pas assez précis, l’administration pourrait considérer que telle ou telle activité n’est pas prévue dans l’objet social et pourrait donc considérer que les charges engagées par la société pour la réalisation de cet objet ne sont pas conformes à ce dernier et refuser la déduction au compte de résultat. On fait donc attention à ce point et on prend le temps de la réflexion. Si l’activité bifurque en cours de vie de la société ou si on décidait de créer une nouvelle activité, il est parfois préférable de constituer une nouvelle entité juridique pour gerber cette nouvelle activité. Sur le montant du capital social : cet élément est important car il informe les tiers de votre engagement financier dans votre projet en fait combien de votre propre argent vous étés prêts à perdre vous les associés ? La loi autorise pour certaines sociétés à ce que leurs associés n’engagent que 1 euro de leur patrimoine pour constituer leur société. Evidemment cela ne démontre pas votre fort engagement dans votre projet si vous avez besoin des autres ; j’ai rencontrés des clients venus me consulter après plusieurs mois de recherche de financeur pour leur projet immobilier. Ils cherchaient un banquier pour financer environ 400 K€ d’immeuble et de travaux. Ils avaient créé leur société directement et avaient fait le choix du capital de 1€. J’ai déjà du utiliser une partie de la consultation à leur exposer les règles de droit et de leur faire comprendre que vous ne pouvez pas être étonnés de la réaction d’un banquier a qui vous demander de croire dans votre projet en injectant 399.999€ alors que vous qui y croyez encore plus vous n’investissez que 1€. Nous devons d’abord restructurer le capital à hauteur de 10K€ et ensuite nous avons représenté le dossier à des banquiers et nous avons obtenu notre financement. Ne soyez pas « mesquins » sur le capital social il vous ouvrira des portes.</w:t>
      </w:r>
    </w:p>
    <w:p>
      <w:pPr>
        <w:pStyle w:val="Heading3"/>
        <w:spacing w:before="400" w:after="100" w:line="276" w:lineRule="auto"/>
      </w:pPr>
      <w:r>
        <w:rPr>
          <w:rFonts w:ascii="Calibri" w:hAnsi="Calibri"/>
          <w:b/>
          <w:i w:val="0"/>
          <w:color w:val="141A21"/>
          <w:sz w:val="27"/>
        </w:rPr>
        <w:t>Les apports en numéraire et en nature</w:t>
      </w:r>
    </w:p>
    <w:p>
      <w:pPr>
        <w:spacing w:before="0" w:after="180" w:line="264" w:lineRule="auto"/>
        <w:jc w:val="both"/>
      </w:pPr>
      <w:r>
        <w:rPr>
          <w:rFonts w:ascii="Cambria" w:hAnsi="Cambria"/>
          <w:b w:val="0"/>
          <w:i w:val="0"/>
          <w:color w:val="141A21"/>
          <w:sz w:val="22"/>
        </w:rPr>
        <w:t>La réussite du projet de constitution de la société est la qualité des apports. C’est en contrepartie de leurs apports que les associés reçoivent des droits sociaux. Ces apports peuvent être en numéraire ou en nature :</w:t>
      </w:r>
    </w:p>
    <w:p>
      <w:pPr>
        <w:spacing w:before="0" w:after="180" w:line="264" w:lineRule="auto"/>
        <w:ind w:firstLine="340"/>
        <w:jc w:val="both"/>
      </w:pPr>
      <w:r>
        <w:rPr>
          <w:rFonts w:ascii="Cambria" w:hAnsi="Cambria"/>
          <w:b w:val="0"/>
          <w:i w:val="0"/>
          <w:color w:val="141A21"/>
          <w:sz w:val="22"/>
        </w:rPr>
        <w:t>Les apports en numéraire sont constitués par des sommes d’argent apportées par les associés lors de la création. Il faut distinguer à la souscription si ces apports sont immédiats ou si l’associé s’engage a verser un certain montant dans le temps. Les SCP et SCS sont plus souples car elles permettent un délai de versement sans limite de délai alors que le délai de versement est de 5 ans pour les SARL, SAS et SA.</w:t>
      </w:r>
    </w:p>
    <w:p>
      <w:pPr>
        <w:spacing w:before="0" w:after="180" w:line="264" w:lineRule="auto"/>
        <w:ind w:firstLine="340"/>
        <w:jc w:val="both"/>
      </w:pPr>
      <w:r>
        <w:rPr>
          <w:rFonts w:ascii="Cambria" w:hAnsi="Cambria"/>
          <w:b w:val="0"/>
          <w:i w:val="0"/>
          <w:color w:val="141A21"/>
          <w:sz w:val="22"/>
        </w:rPr>
        <w:t>Les apports en nature sont un apport de bien(s) mobilier(s) et/ou immobilier(s) utile(s) à l’activité de la société.</w:t>
      </w:r>
    </w:p>
    <w:p>
      <w:pPr>
        <w:spacing w:before="0" w:after="180" w:line="264" w:lineRule="auto"/>
        <w:ind w:firstLine="340"/>
        <w:jc w:val="both"/>
      </w:pPr>
      <w:r>
        <w:rPr>
          <w:rFonts w:ascii="Cambria" w:hAnsi="Cambria"/>
          <w:b w:val="0"/>
          <w:i w:val="0"/>
          <w:color w:val="141A21"/>
          <w:sz w:val="22"/>
        </w:rPr>
        <w:t>Certains rédacteurs d’actes juridiques préconisent également la constitution du capital par des apports en nature de titres d’autres sociétés en l’occurrence, d’immeuble ou de matériels.</w:t>
      </w:r>
    </w:p>
    <w:p>
      <w:pPr>
        <w:spacing w:before="0" w:after="180" w:line="264" w:lineRule="auto"/>
        <w:ind w:firstLine="340"/>
        <w:jc w:val="both"/>
      </w:pPr>
      <w:r>
        <w:rPr>
          <w:rFonts w:ascii="Cambria" w:hAnsi="Cambria"/>
          <w:b w:val="0"/>
          <w:i w:val="0"/>
          <w:color w:val="141A21"/>
          <w:sz w:val="22"/>
        </w:rPr>
        <w:t>Dans le cadre de la société holding il s’agira le plus fréquemment d’apport de titres de la société où le fondateur exerce son activité professionnelle et dont il est le plus souvent le dirigeant.</w:t>
      </w:r>
    </w:p>
    <w:p>
      <w:pPr>
        <w:spacing w:before="0" w:after="180" w:line="264" w:lineRule="auto"/>
        <w:ind w:firstLine="340"/>
        <w:jc w:val="both"/>
      </w:pPr>
      <w:r>
        <w:rPr>
          <w:rFonts w:ascii="Cambria" w:hAnsi="Cambria"/>
          <w:b w:val="0"/>
          <w:i w:val="0"/>
          <w:color w:val="141A21"/>
          <w:sz w:val="22"/>
        </w:rPr>
        <w:t>Il est souhaitable d’apporter au moins 5% du capital pour permettre à la micro-holding de bénéficier du régime fiscal « mère-filiale » et conclure librement des conventions de trésorerie (article L. 511-7, 3è du Code Monétaire et Financier) qui stipule :</w:t>
      </w:r>
    </w:p>
    <w:p>
      <w:pPr>
        <w:spacing w:before="0" w:after="180" w:line="264" w:lineRule="auto"/>
        <w:ind w:firstLine="340"/>
        <w:jc w:val="both"/>
      </w:pPr>
      <w:r>
        <w:rPr>
          <w:rFonts w:ascii="Cambria" w:hAnsi="Cambria"/>
          <w:b w:val="0"/>
          <w:i w:val="0"/>
          <w:color w:val="141A21"/>
          <w:sz w:val="22"/>
        </w:rPr>
        <w:t>Les interdictions définies à l’article à l’article L. 511-5 ne font pas obstacle à ce qu’une entreprise, quelle que soit sa nature, puisse :</w:t>
      </w:r>
    </w:p>
    <w:p>
      <w:pPr>
        <w:spacing w:before="0" w:after="180" w:line="264" w:lineRule="auto"/>
        <w:ind w:firstLine="340"/>
        <w:jc w:val="both"/>
      </w:pPr>
      <w:r>
        <w:rPr>
          <w:rFonts w:ascii="Cambria" w:hAnsi="Cambria"/>
          <w:b w:val="0"/>
          <w:i w:val="0"/>
          <w:color w:val="141A21"/>
          <w:sz w:val="22"/>
        </w:rPr>
        <w:t>Dans l’exercice de son activité professionnelle consentir à ses contractants des délais ou avances de paiement ;</w:t>
      </w:r>
    </w:p>
    <w:p>
      <w:pPr>
        <w:spacing w:before="0" w:after="180" w:line="264" w:lineRule="auto"/>
        <w:ind w:firstLine="340"/>
        <w:jc w:val="both"/>
      </w:pPr>
      <w:r>
        <w:rPr>
          <w:rFonts w:ascii="Cambria" w:hAnsi="Cambria"/>
          <w:b w:val="0"/>
          <w:i w:val="0"/>
          <w:color w:val="141A21"/>
          <w:sz w:val="22"/>
        </w:rPr>
        <w:t>Conclure des contrats de location de logements assortis d’une option d’achat ;</w:t>
      </w:r>
    </w:p>
    <w:p>
      <w:pPr>
        <w:spacing w:before="0" w:after="180" w:line="264" w:lineRule="auto"/>
        <w:ind w:firstLine="340"/>
        <w:jc w:val="both"/>
      </w:pPr>
      <w:r>
        <w:rPr>
          <w:rFonts w:ascii="Cambria" w:hAnsi="Cambria"/>
          <w:b w:val="0"/>
          <w:i w:val="0"/>
          <w:color w:val="141A21"/>
          <w:sz w:val="22"/>
        </w:rPr>
        <w:t>Procéder à des opérations de trésorerie avec des sociétés ayant avec elle, directement ou indirectement, des liens de capital conférant à l’une des entreprises liées un pouvoir de contrôle effectif sur les autres ;</w:t>
      </w:r>
    </w:p>
    <w:p>
      <w:pPr>
        <w:spacing w:before="0" w:after="180" w:line="264" w:lineRule="auto"/>
        <w:ind w:firstLine="340"/>
        <w:jc w:val="both"/>
      </w:pPr>
      <w:r>
        <w:rPr>
          <w:rFonts w:ascii="Cambria" w:hAnsi="Cambria"/>
          <w:b w:val="0"/>
          <w:i w:val="0"/>
          <w:color w:val="141A21"/>
          <w:sz w:val="22"/>
        </w:rPr>
        <w:t>Emettre des valeurs mobilières ainsi que des titres de créances négociables ;</w:t>
      </w:r>
    </w:p>
    <w:p>
      <w:pPr>
        <w:spacing w:before="0" w:after="180" w:line="264" w:lineRule="auto"/>
        <w:ind w:firstLine="340"/>
        <w:jc w:val="both"/>
      </w:pPr>
      <w:r>
        <w:rPr>
          <w:rFonts w:ascii="Cambria" w:hAnsi="Cambria"/>
          <w:b w:val="0"/>
          <w:i w:val="0"/>
          <w:color w:val="141A21"/>
          <w:sz w:val="22"/>
        </w:rPr>
        <w:t>Emettre des bons et cartes délivrés pour l’achat auprès d’elle, d’un bien ou d’un service déterminé ;</w:t>
      </w:r>
    </w:p>
    <w:p>
      <w:pPr>
        <w:spacing w:before="0" w:after="180" w:line="264" w:lineRule="auto"/>
        <w:ind w:firstLine="340"/>
        <w:jc w:val="both"/>
      </w:pPr>
      <w:r>
        <w:rPr>
          <w:rFonts w:ascii="Cambria" w:hAnsi="Cambria"/>
          <w:b w:val="0"/>
          <w:i w:val="0"/>
          <w:color w:val="141A21"/>
          <w:sz w:val="22"/>
        </w:rPr>
        <w:t>Remettre des espèces en garantie d’une opération sur instruments financiers ou d’une opération de prêt de titres régies par des dispositions de l’article L. 431-7 ;</w:t>
      </w:r>
    </w:p>
    <w:p>
      <w:pPr>
        <w:spacing w:before="0" w:after="180" w:line="264" w:lineRule="auto"/>
        <w:ind w:firstLine="340"/>
        <w:jc w:val="both"/>
      </w:pPr>
      <w:r>
        <w:rPr>
          <w:rFonts w:ascii="Cambria" w:hAnsi="Cambria"/>
          <w:b w:val="0"/>
          <w:i w:val="0"/>
          <w:color w:val="141A21"/>
          <w:sz w:val="22"/>
        </w:rPr>
        <w:t>Prendre ou mettre en pension des instruments financiers et effets publics visés à l’article L. 432-12.</w:t>
      </w:r>
    </w:p>
    <w:p>
      <w:pPr>
        <w:spacing w:before="0" w:after="180" w:line="264" w:lineRule="auto"/>
        <w:ind w:firstLine="340"/>
        <w:jc w:val="both"/>
      </w:pPr>
      <w:r>
        <w:rPr>
          <w:rFonts w:ascii="Cambria" w:hAnsi="Cambria"/>
          <w:b w:val="0"/>
          <w:i w:val="0"/>
          <w:color w:val="141A21"/>
          <w:sz w:val="22"/>
        </w:rPr>
        <w:t>Il convient selon la profession exercée, de respecter les règles plus ou moins contraignantes quant à la répartition du capital imposées par certaines professions comme les médecins qui permettent l’apport jusqu'à 25% du capital de SEL à un tiers non diplômé, donc à une micro-holding familiale du médecin. D’autres professions comme les chirurgiens dentistes n’autorisent pas encore l’ouverture du capital social a des non professionnels.</w:t>
      </w:r>
    </w:p>
    <w:p>
      <w:pPr>
        <w:spacing w:before="0" w:after="180" w:line="264" w:lineRule="auto"/>
        <w:ind w:firstLine="340"/>
        <w:jc w:val="both"/>
      </w:pPr>
      <w:r>
        <w:rPr>
          <w:rFonts w:ascii="Cambria" w:hAnsi="Cambria"/>
          <w:b w:val="0"/>
          <w:i w:val="0"/>
          <w:color w:val="141A21"/>
          <w:sz w:val="22"/>
        </w:rPr>
        <w:t>Ces apports devront entre évalués, il conviendra de déterminer leur valeur vénale pour permettre une répartition équitable du capital social de la société holding entre ses associes. Rappelons que la valorisation des apports en nature est obligatoire et doit êtres inscrite dans les statuts de la société. Dans les sociétés de capitaux (SARL, SA, SAS, SCA) il est nécessaire de faire appel à un commissaire aux apports pour valider l’évaluation décidée par les associés, lorsqu’elle est supérieure à 30.000 euros (depuis 2011), ce qui est source de délais supplémentaires et de coûts.</w:t>
      </w:r>
    </w:p>
    <w:p>
      <w:pPr>
        <w:spacing w:before="0" w:after="180" w:line="264" w:lineRule="auto"/>
        <w:ind w:firstLine="340"/>
        <w:jc w:val="both"/>
      </w:pPr>
      <w:r>
        <w:rPr>
          <w:rFonts w:ascii="Cambria" w:hAnsi="Cambria"/>
          <w:b w:val="0"/>
          <w:i w:val="0"/>
          <w:color w:val="141A21"/>
          <w:sz w:val="22"/>
        </w:rPr>
        <w:t>L’apport de parts de SCI présente un intérêt lorsque la société cible exerce son activité dans les locaux dans les locaux qu’elle loue à une SCI appartenant également au dirigeant de la cible. Ce type d’apport permet de regrouper au sein de la même entité juridique (le groupe de sociétés contrôlées par le holding) l’activité opérationnelle et les locaux nécessaires à cette activité.. Certains fondateurs peuvent envisager un apport en nature ou une vente pur et simple ou une combinaison des 2 formules. La vente permet au fondateur de créer un compte courant d’associé, qu’il pourra se faire rembourser ultérieurement sans prélèvement fiscal et/ou social (CSG, CRDS).</w:t>
      </w:r>
    </w:p>
    <w:p>
      <w:pPr>
        <w:pStyle w:val="Heading3"/>
        <w:spacing w:before="400" w:after="100" w:line="276" w:lineRule="auto"/>
      </w:pPr>
      <w:r>
        <w:rPr>
          <w:rFonts w:ascii="Calibri" w:hAnsi="Calibri"/>
          <w:b/>
          <w:i w:val="0"/>
          <w:color w:val="141A21"/>
          <w:sz w:val="27"/>
        </w:rPr>
        <w:t>Le démembrement de propriété : usufruit et nue-propriété</w:t>
      </w:r>
    </w:p>
    <w:p>
      <w:pPr>
        <w:spacing w:before="0" w:after="180" w:line="264" w:lineRule="auto"/>
        <w:jc w:val="both"/>
      </w:pPr>
      <w:r>
        <w:rPr>
          <w:rFonts w:ascii="Cambria" w:hAnsi="Cambria"/>
          <w:b w:val="0"/>
          <w:i w:val="0"/>
          <w:color w:val="141A21"/>
          <w:sz w:val="22"/>
        </w:rPr>
        <w:t>Donc le capital social est divisé en un nombre de titres. Ces titres possèdent la faculté de se diviser en 2 : nue-propriété et usufruit.</w:t>
      </w:r>
    </w:p>
    <w:p>
      <w:pPr>
        <w:spacing w:before="0" w:after="180" w:line="264" w:lineRule="auto"/>
        <w:ind w:firstLine="340"/>
        <w:jc w:val="both"/>
      </w:pPr>
      <w:r>
        <w:rPr>
          <w:rFonts w:ascii="Cambria" w:hAnsi="Cambria"/>
          <w:b w:val="0"/>
          <w:i w:val="0"/>
          <w:color w:val="141A21"/>
          <w:sz w:val="22"/>
        </w:rPr>
        <w:t>Selon le Professeur Henri HOVASSE : « le démembrement des droits sociaux consiste en la fragmentation des prérogatives attachées aux parts et actions de sociétés pour les attribuer à des titulaires différents. Plusieurs techniques permettent d’y parvenir. L’une d’elles, d’application réservé aux actions, permet d’en faire éclater les prérogatives, pécuniaires et celles de vote en deux titres, le certificat d’investissement et le certificat de droit de vote, dont, d’ailleurs, la réunion en une même main rétablît l’action ordinaire. D’aucuns ont proposé, à cette fin, de recourir à la location d’actions avec ou sans promesse de vente. Mais assurément, la technique d’application la plus large, et la plus appréciée, démêlure la constitution d’un usufruit ».</w:t>
      </w:r>
    </w:p>
    <w:p>
      <w:pPr>
        <w:spacing w:before="0" w:after="180" w:line="264" w:lineRule="auto"/>
        <w:ind w:firstLine="340"/>
        <w:jc w:val="both"/>
      </w:pPr>
      <w:r>
        <w:rPr>
          <w:rFonts w:ascii="Cambria" w:hAnsi="Cambria"/>
          <w:b w:val="0"/>
          <w:i w:val="0"/>
          <w:color w:val="141A21"/>
          <w:sz w:val="22"/>
        </w:rPr>
        <w:t>La propriété d’un bien n’est pas une donnée monolithique. Par une « fiction juridique », le droit français distingue trois composantes de la pleine propriété d’un bien, quel qu’il soit :</w:t>
      </w:r>
    </w:p>
    <w:p>
      <w:pPr>
        <w:spacing w:before="0" w:after="180" w:line="264" w:lineRule="auto"/>
        <w:ind w:firstLine="340"/>
        <w:jc w:val="both"/>
      </w:pPr>
      <w:r>
        <w:rPr>
          <w:rFonts w:ascii="Cambria" w:hAnsi="Cambria"/>
          <w:b w:val="0"/>
          <w:i w:val="0"/>
          <w:color w:val="141A21"/>
          <w:sz w:val="22"/>
        </w:rPr>
        <w:t>L’usus : le droit d’utiliser le bien ;</w:t>
      </w:r>
    </w:p>
    <w:p>
      <w:pPr>
        <w:spacing w:before="0" w:after="180" w:line="264" w:lineRule="auto"/>
        <w:ind w:firstLine="340"/>
        <w:jc w:val="both"/>
      </w:pPr>
      <w:r>
        <w:rPr>
          <w:rFonts w:ascii="Cambria" w:hAnsi="Cambria"/>
          <w:b w:val="0"/>
          <w:i w:val="0"/>
          <w:color w:val="141A21"/>
          <w:sz w:val="22"/>
        </w:rPr>
        <w:t>Le fructus : le droit de tirer des revenus du bien (par location de ce bien par exemple) ;</w:t>
      </w:r>
    </w:p>
    <w:p>
      <w:pPr>
        <w:spacing w:before="0" w:after="180" w:line="264" w:lineRule="auto"/>
        <w:ind w:firstLine="340"/>
        <w:jc w:val="both"/>
      </w:pPr>
      <w:r>
        <w:rPr>
          <w:rFonts w:ascii="Cambria" w:hAnsi="Cambria"/>
          <w:b w:val="0"/>
          <w:i w:val="0"/>
          <w:color w:val="141A21"/>
          <w:sz w:val="22"/>
        </w:rPr>
        <w:t>L’abusus : le droit de disposer du bien, notamment par vente ou par destruction.</w:t>
      </w:r>
    </w:p>
    <w:p>
      <w:pPr>
        <w:spacing w:before="0" w:after="180" w:line="264" w:lineRule="auto"/>
        <w:ind w:firstLine="340"/>
        <w:jc w:val="both"/>
      </w:pPr>
      <w:r>
        <w:rPr>
          <w:rFonts w:ascii="Cambria" w:hAnsi="Cambria"/>
          <w:b w:val="0"/>
          <w:i w:val="0"/>
          <w:color w:val="141A21"/>
          <w:sz w:val="22"/>
        </w:rPr>
        <w:t>La pleine propriété de tout bien peut être démembrée en deux parties :</w:t>
      </w:r>
    </w:p>
    <w:p>
      <w:pPr>
        <w:spacing w:before="0" w:after="180" w:line="264" w:lineRule="auto"/>
        <w:ind w:firstLine="340"/>
        <w:jc w:val="both"/>
      </w:pPr>
      <w:r>
        <w:rPr>
          <w:rFonts w:ascii="Cambria" w:hAnsi="Cambria"/>
          <w:b w:val="0"/>
          <w:i w:val="0"/>
          <w:color w:val="141A21"/>
          <w:sz w:val="22"/>
        </w:rPr>
        <w:t>L’usufruit, qui correspond à l’usus et au fructus ;</w:t>
      </w:r>
    </w:p>
    <w:p>
      <w:pPr>
        <w:spacing w:before="0" w:after="180" w:line="264" w:lineRule="auto"/>
        <w:ind w:firstLine="340"/>
        <w:jc w:val="both"/>
      </w:pPr>
      <w:r>
        <w:rPr>
          <w:rFonts w:ascii="Cambria" w:hAnsi="Cambria"/>
          <w:b w:val="0"/>
          <w:i w:val="0"/>
          <w:color w:val="141A21"/>
          <w:sz w:val="22"/>
        </w:rPr>
        <w:t>La nue-propriété, qui correspond au seul droit de disposer.</w:t>
      </w:r>
    </w:p>
    <w:p>
      <w:pPr>
        <w:spacing w:before="0" w:after="180" w:line="264" w:lineRule="auto"/>
        <w:ind w:firstLine="340"/>
        <w:jc w:val="both"/>
      </w:pPr>
      <w:r>
        <w:rPr>
          <w:rFonts w:ascii="Cambria" w:hAnsi="Cambria"/>
          <w:b w:val="0"/>
          <w:i w:val="0"/>
          <w:color w:val="141A21"/>
          <w:sz w:val="22"/>
        </w:rPr>
        <w:t>Il est possible d’apporter à une société uniquement l’une des deux composantes de biens apportés. Certains associés pourront apporter l’usufruit temporaire de valeurs mobilières, afin de permettre à la société de percevoir les dividendes de ces valeurs, sans que l’associé ne se dépossède de la propriété de ces valeurs. Et si le projet capote, lors de la dissolution de la société, l’usufruit « rejoint la nue-propriété » sans autre formalité ni taxation supplémentaire.</w:t>
      </w:r>
    </w:p>
    <w:p>
      <w:pPr>
        <w:spacing w:before="0" w:after="180" w:line="264" w:lineRule="auto"/>
        <w:ind w:firstLine="340"/>
        <w:jc w:val="both"/>
      </w:pPr>
      <w:r>
        <w:rPr>
          <w:rFonts w:ascii="Cambria" w:hAnsi="Cambria"/>
          <w:b w:val="0"/>
          <w:i w:val="0"/>
          <w:color w:val="141A21"/>
          <w:sz w:val="22"/>
        </w:rPr>
        <w:t>Il n’y a pas de réglés en la matière, tout est affaire de circonstances, de buts recherchés, etc.</w:t>
      </w:r>
    </w:p>
    <w:p>
      <w:pPr>
        <w:spacing w:before="0" w:after="180" w:line="264" w:lineRule="auto"/>
        <w:ind w:firstLine="340"/>
        <w:jc w:val="both"/>
      </w:pPr>
      <w:r>
        <w:rPr>
          <w:rFonts w:ascii="Cambria" w:hAnsi="Cambria"/>
          <w:b w:val="0"/>
          <w:i w:val="0"/>
          <w:color w:val="141A21"/>
          <w:sz w:val="22"/>
        </w:rPr>
        <w:t>Voici quelques idées de base à retenir :</w:t>
      </w:r>
    </w:p>
    <w:p>
      <w:pPr>
        <w:spacing w:before="0" w:after="180" w:line="264" w:lineRule="auto"/>
        <w:ind w:firstLine="340"/>
        <w:jc w:val="both"/>
      </w:pPr>
      <w:r>
        <w:rPr>
          <w:rFonts w:ascii="Cambria" w:hAnsi="Cambria"/>
          <w:b w:val="0"/>
          <w:i w:val="0"/>
          <w:color w:val="141A21"/>
          <w:sz w:val="22"/>
        </w:rPr>
        <w:t>Un apport en pleine propriété est irréversible, sans « ticket-retour » ;</w:t>
      </w:r>
    </w:p>
    <w:p>
      <w:pPr>
        <w:spacing w:before="0" w:after="180" w:line="264" w:lineRule="auto"/>
        <w:ind w:firstLine="340"/>
        <w:jc w:val="both"/>
      </w:pPr>
      <w:r>
        <w:rPr>
          <w:rFonts w:ascii="Cambria" w:hAnsi="Cambria"/>
          <w:b w:val="0"/>
          <w:i w:val="0"/>
          <w:color w:val="141A21"/>
          <w:sz w:val="22"/>
        </w:rPr>
        <w:t>Un apport en usufruit est forcement temporaire ce qui induit deux conséquences :</w:t>
      </w:r>
    </w:p>
    <w:p>
      <w:pPr>
        <w:spacing w:before="0" w:after="180" w:line="264" w:lineRule="auto"/>
        <w:ind w:firstLine="340"/>
        <w:jc w:val="both"/>
      </w:pPr>
      <w:r>
        <w:rPr>
          <w:rFonts w:ascii="Cambria" w:hAnsi="Cambria"/>
          <w:b w:val="0"/>
          <w:i w:val="0"/>
          <w:color w:val="141A21"/>
          <w:sz w:val="22"/>
        </w:rPr>
        <w:t>La société bénéficiaire de l’apport peut amortir la valeur de l’usufruit reçu, ce qui réduit d’autant son assiette imposable, sans nécessiter de décaissement en contrepartie ;</w:t>
      </w:r>
    </w:p>
    <w:p>
      <w:pPr>
        <w:spacing w:before="0" w:after="180" w:line="264" w:lineRule="auto"/>
        <w:ind w:firstLine="340"/>
        <w:jc w:val="both"/>
      </w:pPr>
      <w:r>
        <w:rPr>
          <w:rFonts w:ascii="Cambria" w:hAnsi="Cambria"/>
          <w:b w:val="0"/>
          <w:i w:val="0"/>
          <w:color w:val="141A21"/>
          <w:sz w:val="22"/>
        </w:rPr>
        <w:t>L’apporteur qui reste nu propriétaire pourra récupérer à terme, selon la durée fixée pour l’usufruit, la pleine propriété de son bien.</w:t>
      </w:r>
    </w:p>
    <w:p>
      <w:pPr>
        <w:spacing w:before="0" w:after="180" w:line="264" w:lineRule="auto"/>
        <w:ind w:firstLine="340"/>
        <w:jc w:val="both"/>
      </w:pPr>
      <w:r>
        <w:rPr>
          <w:rFonts w:ascii="Cambria" w:hAnsi="Cambria"/>
          <w:b w:val="0"/>
          <w:i w:val="0"/>
          <w:color w:val="141A21"/>
          <w:sz w:val="22"/>
        </w:rPr>
        <w:t>Pour les SCI, grâce à l’article 8 du CGI, le démembrement permet sur une même part de SCI d’être rattaché à des règles fiscales distinctes selon le statut fiscal de l’usufruitier (IS par exemple la société) et du nu-propriétaire (IR par exemple dans le cadre de gestion de son patrimoine privé), ce qui peut s’avérer avantageux en matière de plus values immobilières (exonération après plusieurs années).</w:t>
      </w:r>
    </w:p>
    <w:p>
      <w:pPr>
        <w:spacing w:before="0" w:after="180" w:line="264" w:lineRule="auto"/>
        <w:ind w:firstLine="340"/>
        <w:jc w:val="both"/>
      </w:pPr>
      <w:r>
        <w:rPr>
          <w:rFonts w:ascii="Cambria" w:hAnsi="Cambria"/>
          <w:b w:val="0"/>
          <w:i w:val="0"/>
          <w:color w:val="141A21"/>
          <w:sz w:val="22"/>
        </w:rPr>
        <w:t>Deux cas d’apport sont envisageables :</w:t>
      </w:r>
    </w:p>
    <w:p>
      <w:pPr>
        <w:spacing w:before="0" w:after="180" w:line="264" w:lineRule="auto"/>
        <w:ind w:firstLine="340"/>
        <w:jc w:val="both"/>
      </w:pPr>
      <w:r>
        <w:rPr>
          <w:rFonts w:ascii="Cambria" w:hAnsi="Cambria"/>
          <w:b w:val="0"/>
          <w:i w:val="0"/>
          <w:color w:val="141A21"/>
          <w:sz w:val="22"/>
        </w:rPr>
        <w:t>L’apport isolé c’est l’apport soit de la nue-propriété soit de l’usufruit par le futur associé. Le Professeur HOVASSE indique : « la nue-propriété d’un bien peut isolement faire l’objet d’un apport en société. Une telle opération a pour vocation à se développer. En effet, plutôt que d’apporter la pleine propriété d’un bien à une société en procédant ensuite à une donation—partage des droits sociaux avec réserve d’usufruit sur ceux-ci, il apparait préférable au donateur d’apporter d’abord la nue-propriété du bien dont il conserve l’usufruit, puis de pratiquer la donation–partage des droits sociaux. L’apport de la nue-propriété d’un bien n’a que rarement retenue l’attention de la doctrine. Sans doute- et à juste titre- parce ni la validité ni le régime d’un tel apport n’imposent d’observations distinctes de celles formulées pour l’apport en pleine propriété. Pourtant, l’on peut constater des réticences à admettre que l’actif du patrimoine d’une société puisse n’être constitué que de biens retenus en nue-propriété. Quelles seraient les ressources d’une société qui n’exercerait que des droits de nu-propriétaire sur des actions ou des parts sociales ou sur des immeubles ? Messieurs les Professeurs M. COZIAN et A. VIANDIER formulent clairement l’objection : l’originalité d’une telle société mérite d’être soulignée : elle n’a pour vocation initiale de réaliser des bénéfices, n’entant que nu-propriétaire ; les associes ont au fond une âme d’indivisaires (…). Sa vocation est exclusivement patrimoniale ».</w:t>
      </w:r>
    </w:p>
    <w:p>
      <w:pPr>
        <w:spacing w:before="0" w:after="180" w:line="264" w:lineRule="auto"/>
        <w:ind w:firstLine="340"/>
        <w:jc w:val="both"/>
      </w:pPr>
      <w:r>
        <w:rPr>
          <w:rFonts w:ascii="Cambria" w:hAnsi="Cambria"/>
          <w:b w:val="0"/>
          <w:i w:val="0"/>
          <w:color w:val="141A21"/>
          <w:sz w:val="22"/>
        </w:rPr>
        <w:t>Les apports conjoints de la nue-propriété et de l’usufruit concernent deux associés qui apportent à la même société holding des titres d’une autre société, l’un étant titulaire de l’usufruit et l’autre de la nue-propriété. La conséquence patrimoniale de cette opération est la reconstitution de la propriété pleine et entière des parts entre les mains de la société holding. Ce montage fonctionne aussi très bien lors de la constitution de société « foncière » comme j’aime à les nommer entre un descendant qui aurait créé sa société d’investissement immobilier et qui serait nu-propriétaire d’un bien familial dont l’usufruit aurait été « gardé » par ses parents. Lors du décès des parents la pleine propriété revient à la société foncière.</w:t>
      </w:r>
    </w:p>
    <w:p>
      <w:pPr>
        <w:spacing w:before="0" w:after="180" w:line="264" w:lineRule="auto"/>
        <w:ind w:firstLine="340"/>
        <w:jc w:val="both"/>
      </w:pPr>
      <w:r>
        <w:rPr>
          <w:rFonts w:ascii="Cambria" w:hAnsi="Cambria"/>
          <w:b w:val="0"/>
          <w:i w:val="0"/>
          <w:color w:val="141A21"/>
          <w:sz w:val="22"/>
        </w:rPr>
        <w:t>En contrepartie de leur apport, l’apporteur d’usufruit et l’apporteur en nue-propriété reçoivent des titres de la société. Ils les reçoivent en principe en pleine propriété, sauf faculté de reporter le démembrement sur les parts ou actions de la société.</w:t>
      </w:r>
    </w:p>
    <w:p>
      <w:pPr>
        <w:spacing w:before="0" w:after="180" w:line="264" w:lineRule="auto"/>
        <w:ind w:firstLine="340"/>
        <w:jc w:val="both"/>
      </w:pPr>
      <w:r>
        <w:rPr>
          <w:rFonts w:ascii="Cambria" w:hAnsi="Cambria"/>
          <w:b w:val="0"/>
          <w:i w:val="0"/>
          <w:color w:val="141A21"/>
          <w:sz w:val="22"/>
        </w:rPr>
        <w:t>Il convient de faire l’évaluation avec des remarques particulières, comme le souligne le Professeur HOVASSE : « l’évaluation des droits démembrés apportés à la société contribue à fixer l’étendue des droits sociaux attribués aux apporteurs. Elle n’appelle aucune remarque lorsque la société bénéficiaire des apparts est à risques illimités : l’évaluation des biens apportés et l’attribution des droits sociaux relèvent de la liberté contractuelle. En revanche, l’évaluation des droits démembrés est placée sous le contrôle d’un commissaire aux apports dans les sociétés à risque limités. Ce contrôle est institué pour réduire le raque d’une surévaluation aux dépens des créanciers sociaux et des associés. Il en résulté que la nue-propriété et l’usufruit apportés conjointement ou séparément doivent entre appréciés l’un et l’autre exclusivement à leur valeur économiques. Celle-ci est déterminée dans tous les cas par la durée de l’usufruit. L’évaluation comporte un élément de complexité lorsque l’usufruit a été constitué au profita d’une personne physique dont la durée de vie est incertaine. La pratique s’est justement établies de recourir aux tables de mortalité des compagnies d’assurances, sauf à tenir compte, comme elles, de facteurs particuliers de risques dont la dissimulation conduirait à une surévaluation de l’usufruit ».</w:t>
      </w:r>
    </w:p>
    <w:p>
      <w:pPr>
        <w:spacing w:before="0" w:after="180" w:line="264" w:lineRule="auto"/>
        <w:ind w:firstLine="340"/>
        <w:jc w:val="both"/>
      </w:pPr>
      <w:r>
        <w:rPr>
          <w:rFonts w:ascii="Cambria" w:hAnsi="Cambria"/>
          <w:b w:val="0"/>
          <w:i w:val="0"/>
          <w:color w:val="141A21"/>
          <w:sz w:val="22"/>
        </w:rPr>
        <w:t>En cas de régime matrimonial de séparation de biens, il convient de respecter ce choix initial, il ne faut pas exclure la faculté de créer une micro-holding pour chaque conjoint. Il convient de faire un calcul d’optimisations des frais de gestion à long terme de deux structures ou bien d’une seule.</w:t>
      </w:r>
    </w:p>
    <w:p>
      <w:pPr>
        <w:spacing w:before="0" w:after="180" w:line="264" w:lineRule="auto"/>
        <w:ind w:firstLine="340"/>
        <w:jc w:val="both"/>
      </w:pPr>
      <w:r>
        <w:rPr>
          <w:rFonts w:ascii="Cambria" w:hAnsi="Cambria"/>
          <w:b w:val="0"/>
          <w:i w:val="0"/>
          <w:color w:val="141A21"/>
          <w:sz w:val="22"/>
        </w:rPr>
        <w:t>L’impact de la fiscalité est important. Les apports dits « purs et simples » sont ceux qui sont effectués sans autre contrepartie que la remise des titres représentatifs de cet apport.</w:t>
      </w:r>
    </w:p>
    <w:p>
      <w:pPr>
        <w:spacing w:before="0" w:after="180" w:line="264" w:lineRule="auto"/>
        <w:ind w:firstLine="340"/>
        <w:jc w:val="both"/>
      </w:pPr>
      <w:r>
        <w:rPr>
          <w:rFonts w:ascii="Cambria" w:hAnsi="Cambria"/>
          <w:b w:val="0"/>
          <w:i w:val="0"/>
          <w:color w:val="141A21"/>
          <w:sz w:val="22"/>
        </w:rPr>
        <w:t>Ils sont opposés aux apports dits « à titre onéreux », qui s’analysent fiscalement comme des ventes de biens à une société. Il est important de noter que tout apport effectué par l’un des conjoints à une société, d’un bien relevant de la communauté de bien des époux, ne peut être fait qu’avec le consentement de l’autre époux. Ceci est surtout valable lorsque l’un des conjoints n’est pas associé de la société.</w:t>
      </w:r>
    </w:p>
    <w:p>
      <w:pPr>
        <w:spacing w:before="0" w:after="180" w:line="264" w:lineRule="auto"/>
        <w:ind w:firstLine="340"/>
        <w:jc w:val="both"/>
      </w:pPr>
      <w:r>
        <w:rPr>
          <w:rFonts w:ascii="Cambria" w:hAnsi="Cambria"/>
          <w:b w:val="0"/>
          <w:i w:val="0"/>
          <w:color w:val="141A21"/>
          <w:sz w:val="22"/>
        </w:rPr>
        <w:t>Les apports effectués par une personne physique à une société soumise à l’IS peuvent bénéficier d’une exonération de droit sous couvert de l’engagements de conservation des titres reçus en contre partie de 3 ans. Il est souvent tentant de limiter les apports en numéraires au moment de la création de la société, et d’user sans restriction de la faculté de faire des apports en comptes courant d’associés. Cette mécanique souvent utilisée a l’inconvénient vis-à-vis des tiers de montrer une société « sous capitalisée » et de montrer que la société a déjà des dettes puisque le compte courant d’associé est une bien une dette de la société envers son associé qui peut réclamer à tout moment le remboursement, sauf décision contraire comme le blocage d’un compte courant..</w:t>
      </w:r>
    </w:p>
    <w:p>
      <w:pPr>
        <w:spacing w:before="0" w:after="180" w:line="264" w:lineRule="auto"/>
        <w:ind w:firstLine="340"/>
        <w:jc w:val="both"/>
      </w:pPr>
      <w:r>
        <w:rPr>
          <w:rFonts w:ascii="Cambria" w:hAnsi="Cambria"/>
          <w:b w:val="0"/>
          <w:i w:val="0"/>
          <w:color w:val="141A21"/>
          <w:sz w:val="22"/>
        </w:rPr>
        <w:t>Ce type d’apport de titres de SARL, SA, SEL et SCI soit en pleine propriété soit en usufruit temporaire bénéficié du sursis d’imposition. Aucune plus value n’est calculé ni déclarée au titre de l’année de l’apport : ce régime s’applique automatiquement.</w:t>
      </w:r>
    </w:p>
    <w:p>
      <w:pPr>
        <w:spacing w:before="0" w:after="180" w:line="264" w:lineRule="auto"/>
        <w:ind w:firstLine="340"/>
        <w:jc w:val="both"/>
      </w:pPr>
      <w:r>
        <w:rPr>
          <w:rFonts w:ascii="Cambria" w:hAnsi="Cambria"/>
          <w:b w:val="0"/>
          <w:i w:val="0"/>
          <w:color w:val="141A21"/>
          <w:sz w:val="22"/>
        </w:rPr>
        <w:t>En cas de soulte, le sursis d’imposition est subordonné à la condition que la soulte n’excède pas 10% de la valeur nominale des titres de la société reçu en échange.</w:t>
      </w:r>
    </w:p>
    <w:p>
      <w:pPr>
        <w:spacing w:before="0" w:after="180" w:line="264" w:lineRule="auto"/>
        <w:ind w:firstLine="340"/>
        <w:jc w:val="both"/>
      </w:pPr>
      <w:r>
        <w:rPr>
          <w:rFonts w:ascii="Cambria" w:hAnsi="Cambria"/>
          <w:b w:val="0"/>
          <w:i w:val="0"/>
          <w:color w:val="141A21"/>
          <w:sz w:val="22"/>
        </w:rPr>
        <w:t>L’apporteur n’ayant pas à priori l’intention de céder ultérieurement les parts reçues dans la société, il y a tout lieu de penser que le sursis d’imposition se transformera ultérieurement en exonération définitive à l’occasion d’une donation ou d’une succession. Cette situation fiscale est en train d’être remise en cause par le législateur qui envisage lors d’une loi de finance prochaine de revenir sur ce principe, seul la possibilité d’un ‘report » d’imposition serait maintenu donc l’imposition serait due, même en cas de détention durable des titres, mais ne serait à payer que lors de la cession des du titres reçus. Je rappelle à mes clients, je rabâche même toujours la chanson « faites attention à la fiscalité, elle peut changer aux grés des gouvernements et des lois de fiances, c’est ce que nous appelons l’instabilité fiscale française qui ne permet pas aux ENTREPRENEURS d’avancer dans la sérénité ».</w:t>
      </w:r>
    </w:p>
    <w:p>
      <w:pPr>
        <w:spacing w:before="0" w:after="180" w:line="264" w:lineRule="auto"/>
        <w:ind w:firstLine="340"/>
        <w:jc w:val="both"/>
      </w:pPr>
      <w:r>
        <w:rPr>
          <w:rFonts w:ascii="Cambria" w:hAnsi="Cambria"/>
          <w:b w:val="0"/>
          <w:i w:val="0"/>
          <w:color w:val="141A21"/>
          <w:sz w:val="22"/>
        </w:rPr>
        <w:t>La répartition du capital dépend directement des apports réalisés par les fondateurs. Selon la forme sociale adoptée, il est possible de dissocier le « pouvoir » et « l’avoir » c'est-à-dire d’avoir une répartition de la propriété du capital et des droits de vote différente. Dans la Société Civile de Portefeuille il est possible de créer des parts à vote plural. Dans la Société en Commandite Simple l’essentiel du pouvoir est aux mains des commandités.</w:t>
      </w:r>
    </w:p>
    <w:p>
      <w:pPr>
        <w:spacing w:before="0" w:after="180" w:line="264" w:lineRule="auto"/>
        <w:ind w:firstLine="340"/>
        <w:jc w:val="both"/>
      </w:pPr>
      <w:r>
        <w:rPr>
          <w:rFonts w:ascii="Cambria" w:hAnsi="Cambria"/>
          <w:b w:val="0"/>
          <w:i w:val="0"/>
          <w:color w:val="141A21"/>
          <w:sz w:val="22"/>
        </w:rPr>
        <w:t>A la création de la société, la distribution de dividendes constitue rarement une priorité, l’objectif recherché étant plutôt de capitaliser. Cela peut changer ultérieurement, à l’âge de la retraite venue pour le fondateur, qui peut à ce moment la souhaiter disposer de revenus complémentaires à ses retraites. Ne pas négliger la souplesse de la société à capital variable, ce qui permettra iultereieurement d’opérer des ajustements, des modifications avec un minimum de formalisme et de frais administratifs réduits.</w:t>
      </w:r>
    </w:p>
    <w:p>
      <w:pPr>
        <w:spacing w:before="0" w:after="180" w:line="264" w:lineRule="auto"/>
        <w:ind w:firstLine="340"/>
        <w:jc w:val="both"/>
      </w:pPr>
      <w:r>
        <w:rPr>
          <w:rFonts w:ascii="Cambria" w:hAnsi="Cambria"/>
          <w:b w:val="0"/>
          <w:i w:val="0"/>
          <w:color w:val="141A21"/>
          <w:sz w:val="22"/>
        </w:rPr>
        <w:t>L’exercice social est souvent calqué sur l’année civile par la majorité des juristes surtout les notaires qui créent des SCI lors de l’acquisition d’un bien et ce focalisent sur les SCI à l’IR alors que les SCI à l’IS peuvent choisir une autre date de clôture. Ce choix est rarement heureux car il n’est pas flexible entre la fiscalité de la société à l’IS et la fiscalité des associés personne physique qui elles n’ont pas le choix et sont fiscalisée sur leurs revenus de l’année civile. Rémi DUMAS préconise pour une micro-holding familiale que le 30 novembre est une date de clôture particulièrement favorable. Je n’ai pas compris pourquoi mais peut être qu’un jour il me l’expliquera. Pour ma part j’aime fixer la date de clôture des holdings qui rémunèrent leurs dirigeants au 31 août de chaque année. En effet cette date oblige la clôturé des comptes dans les 3 mois soit 30 novembre et ouvre la période des 3 mois où l’assemblée des associés doit se réunir. A cette même date nous pouvons connaitre l’orientation de la loi de finance pour l’année d’après et arbitrer en fonction des modifications législatives où nous validons une assemblée des associés en décembre ou en janvier et de ce fait nous pouvons bénéficier de tels ou tels avantages de la loi de finance.</w:t>
      </w:r>
    </w:p>
    <w:p>
      <w:pPr>
        <w:pStyle w:val="Heading3"/>
        <w:spacing w:before="400" w:after="100" w:line="276" w:lineRule="auto"/>
      </w:pPr>
      <w:r>
        <w:rPr>
          <w:rFonts w:ascii="Calibri" w:hAnsi="Calibri"/>
          <w:b/>
          <w:i w:val="0"/>
          <w:color w:val="141A21"/>
          <w:sz w:val="27"/>
        </w:rPr>
        <w:t>La personnalité morale et la société en formation</w:t>
      </w:r>
    </w:p>
    <w:p>
      <w:pPr>
        <w:spacing w:before="0" w:after="180" w:line="264" w:lineRule="auto"/>
        <w:jc w:val="both"/>
      </w:pPr>
      <w:r>
        <w:rPr>
          <w:rFonts w:ascii="Cambria" w:hAnsi="Cambria"/>
          <w:b w:val="0"/>
          <w:i w:val="0"/>
          <w:color w:val="141A21"/>
          <w:sz w:val="22"/>
        </w:rPr>
        <w:t>Le code de commerce par son article L. 210-6 dispose que :</w:t>
      </w:r>
    </w:p>
    <w:p>
      <w:pPr>
        <w:spacing w:before="200" w:after="240" w:line="288" w:lineRule="auto"/>
        <w:ind w:left="397"/>
        <w:jc w:val="both"/>
        <w:pBdr>
          <w:left w:val="single" w:sz="18" w:space="10" w:color="b08d3e"/>
        </w:pBdr>
      </w:pPr>
      <w:r>
        <w:rPr>
          <w:rFonts w:ascii="Cambria" w:hAnsi="Cambria"/>
          <w:b w:val="0"/>
          <w:i/>
          <w:color w:val="3C3A34"/>
          <w:sz w:val="21"/>
        </w:rPr>
        <w:t>« Les sociétés commerciales jouissent de la personnalité morale à dater de leur immatriculation au registre du commerce et des sociétés. La transformation régulière d’une société n’entraine pas la création d’une personne morale nouvelle. Il en est de même de la prorogation. Les personnes qui ont agi au nom d’une société en formation avant qu’elle ait acquis la jouissance de la personnalité morale sont tenues solidairement et indéfiniment responsables des actes ainsi accomplis, à moins que la société, après avoir été régulièrement constitué et immatriculée, ne reprenne les engagements souscrits. Ces engagements sont alors réputés avoir été souscrits dès l’origine par la société. »</w:t>
      </w:r>
    </w:p>
    <w:p>
      <w:pPr>
        <w:spacing w:before="0" w:after="180" w:line="264" w:lineRule="auto"/>
        <w:ind w:firstLine="340"/>
        <w:jc w:val="both"/>
      </w:pPr>
      <w:r>
        <w:rPr>
          <w:rFonts w:ascii="Cambria" w:hAnsi="Cambria"/>
          <w:b w:val="0"/>
          <w:i w:val="0"/>
          <w:color w:val="141A21"/>
          <w:sz w:val="22"/>
        </w:rPr>
        <w:t>Alors là ça commence à être du chinois ?</w:t>
      </w:r>
    </w:p>
    <w:p>
      <w:pPr>
        <w:spacing w:before="0" w:after="180" w:line="264" w:lineRule="auto"/>
        <w:ind w:firstLine="340"/>
        <w:jc w:val="both"/>
      </w:pPr>
      <w:r>
        <w:rPr>
          <w:rFonts w:ascii="Cambria" w:hAnsi="Cambria"/>
          <w:b w:val="0"/>
          <w:i w:val="0"/>
          <w:color w:val="141A21"/>
          <w:sz w:val="22"/>
        </w:rPr>
        <w:t>Mais non c’est du droit et c’est simple, vous allez voir :</w:t>
      </w:r>
    </w:p>
    <w:p>
      <w:pPr>
        <w:spacing w:before="0" w:after="180" w:line="264" w:lineRule="auto"/>
        <w:ind w:firstLine="340"/>
        <w:jc w:val="both"/>
      </w:pPr>
      <w:r>
        <w:rPr>
          <w:rFonts w:ascii="Cambria" w:hAnsi="Cambria"/>
          <w:b w:val="0"/>
          <w:i w:val="0"/>
          <w:color w:val="141A21"/>
          <w:sz w:val="22"/>
        </w:rPr>
        <w:t>La société est une personne dite morale et de ce fait elle possède son propre patrimoine qui est distinct de celui de ses associés. Comme énoncé précédemment, la société va disposée de sa carte d’identité, extrait kbis, délivré par le tribunal de commerce après plusieurs formalités que nous verrons plus tard. Ce document comporte un numéro de registre de commerce et des sociétés, RCS. ce numéro composé de 9 chiffres lui est unique comme notre numéro de sécurité sociale pour les personne physique, et indique que cette entité juridique existe bien et peut œuvrer dans l’acquisition de son patrimoine et prendre des décisions (et les assumer).</w:t>
      </w:r>
    </w:p>
    <w:p>
      <w:pPr>
        <w:spacing w:before="0" w:after="180" w:line="264" w:lineRule="auto"/>
        <w:ind w:firstLine="340"/>
        <w:jc w:val="both"/>
      </w:pPr>
      <w:r>
        <w:rPr>
          <w:rFonts w:ascii="Cambria" w:hAnsi="Cambria"/>
          <w:b w:val="0"/>
          <w:i w:val="0"/>
          <w:color w:val="141A21"/>
          <w:sz w:val="22"/>
        </w:rPr>
        <w:t>Il arrive souvent que les associés soient « obligés » de « parler » au nom de la société avant même son immatriculation au RCS, comme pour acheter du matériel ou le plus flagrant à l’acceptation d’un bail commercial permettant d’obtenir la jouissance d’un lieu géographique permettant de définir le siège social de la société, élément je rappelle indispensable pour son immatriculation. Dans ce cas un associé a dû obligatoirement signer le bail pour le compte d’une société qui n’excite pas. Afin de protéger le propriétaire, le droit indique que l’associé qui a signé est devenu responsable vis-à-vis du propriétaire comme s’il l’avait signé en son propre nom. Le risque c’est que cet associé peut quitter la société et donc ne plus avoir d’intérêt avec elle et pourtant il peut être attaqué par le propriétaire en cas de défaillance de la société comme le non paiement de loyers. Pour éviter cela il convient d’indiquer dans un acte juridique, qui peut être les statuts, une liste des actes effectués par des associés avant l’immatriculation de la société et que l’assemblée des associés reconnaît que ces actes ont été faits pour le compte de la société.</w:t>
      </w:r>
    </w:p>
    <w:p>
      <w:pPr>
        <w:spacing w:before="0" w:after="180" w:line="264" w:lineRule="auto"/>
        <w:ind w:firstLine="340"/>
        <w:jc w:val="both"/>
      </w:pPr>
      <w:r>
        <w:rPr>
          <w:rFonts w:ascii="Cambria" w:hAnsi="Cambria"/>
          <w:b w:val="0"/>
          <w:i w:val="0"/>
          <w:color w:val="141A21"/>
          <w:sz w:val="22"/>
        </w:rPr>
        <w:t>Dans la pratique lorsque j’assiste les associés à la constitution de leur société je leur demande de bien réfléchir aux différentes actions qu’ils ont réalisées avant la création de la société et nous énumérons ces actes dans une annexe que nous ajoutons aux statuts pour publication. De ce fait nous sommes en conformité avec la cour de cassation qui statua le 13 juillet 2011 sur la validité de la reprise par une société, dès son immatriculation, du bail commerciale consenti à ses fondateurs alors qu’elle était en formation, dès lors qu’une clause statutaire précisait les caractéristiques du bail et indiquait que les fondateurs l’avaient signé pour le compte de la société. La reprise par une société ne peut pas être implicite, comme dans l’exemple d’une jurisprudence de la cour de cassation de 2000, qui indiquait la non reprise d’un prêt, contracté avant l’immatriculation, au compte de la société même si ensuite les remboursements étaient opérées sur le compte bancaire de la dite société. La cour de cassation, toujours elle, a précisé en 2005 que la reprise d’un acte passé pour le compte d’une société en formation décharge les associés ayant passé l’acte.</w:t>
      </w:r>
    </w:p>
    <w:p>
      <w:pPr>
        <w:spacing w:before="0" w:after="180" w:line="264" w:lineRule="auto"/>
        <w:ind w:firstLine="340"/>
        <w:jc w:val="both"/>
      </w:pPr>
      <w:r>
        <w:rPr>
          <w:rFonts w:ascii="Cambria" w:hAnsi="Cambria"/>
          <w:b w:val="0"/>
          <w:i w:val="0"/>
          <w:color w:val="141A21"/>
          <w:sz w:val="22"/>
        </w:rPr>
        <w:t>En résumé, pensez à faire un inventaire des actes que vous avez réalisé avant la création de votre société.</w:t>
      </w:r>
    </w:p>
    <w:p>
      <w:pPr>
        <w:spacing w:before="0" w:after="180" w:line="264" w:lineRule="auto"/>
        <w:ind w:firstLine="340"/>
        <w:jc w:val="both"/>
      </w:pPr>
      <w:r>
        <w:rPr>
          <w:rFonts w:ascii="Cambria" w:hAnsi="Cambria"/>
          <w:b w:val="0"/>
          <w:i w:val="0"/>
          <w:color w:val="141A21"/>
          <w:sz w:val="22"/>
        </w:rPr>
        <w:t>Dans la pratique il m’est également arrivé de faire ratifier, après rédaction des statuts, un document juridique par les associés en reprenant des actes constatés dans la comptabilité mais dont nous n’avions pas la légitimité temporelle, acte réalisé avant l’immatriculation de la société, ou le formalisme comptable, une facture d’achat de matériels libellé au nom de l’associé et non de la société.</w:t>
      </w:r>
    </w:p>
    <w:p>
      <w:pPr>
        <w:spacing w:before="0" w:after="180" w:line="264" w:lineRule="auto"/>
        <w:ind w:firstLine="340"/>
        <w:jc w:val="both"/>
      </w:pPr>
      <w:r>
        <w:rPr>
          <w:rFonts w:ascii="Cambria" w:hAnsi="Cambria"/>
          <w:b w:val="0"/>
          <w:i w:val="0"/>
          <w:color w:val="141A21"/>
          <w:sz w:val="22"/>
        </w:rPr>
        <w:t>Le code de commerce par son article L. 210-8 dispose que :</w:t>
      </w:r>
    </w:p>
    <w:p>
      <w:pPr>
        <w:spacing w:before="200" w:after="240" w:line="288" w:lineRule="auto"/>
        <w:ind w:left="397"/>
        <w:jc w:val="both"/>
        <w:pBdr>
          <w:left w:val="single" w:sz="18" w:space="10" w:color="b08d3e"/>
        </w:pBdr>
      </w:pPr>
      <w:r>
        <w:rPr>
          <w:rFonts w:ascii="Cambria" w:hAnsi="Cambria"/>
          <w:b w:val="0"/>
          <w:i/>
          <w:color w:val="3C3A34"/>
          <w:sz w:val="21"/>
        </w:rPr>
        <w:t>« Les fondateurs de la société, ainsi que les premiers membres des organes de gestion, d’administration, de direction et de surveillance sont solidairement responsables du préjudice causé par le défaut d’une mention obligatoire dans les statuts ainsi que par l’omission ou l’accomplissement irrégulier d’une formalité prescrite par la loi et les règlements pour la constitution de la société… L’action se prescrit par dix ans à compter de l’accomplissement de l’une ou l’autre, selon le cas des formalités … »</w:t>
      </w:r>
    </w:p>
    <w:p>
      <w:pPr>
        <w:spacing w:before="0" w:after="180" w:line="264" w:lineRule="auto"/>
        <w:ind w:firstLine="340"/>
        <w:jc w:val="both"/>
      </w:pPr>
      <w:r>
        <w:rPr>
          <w:rFonts w:ascii="Cambria" w:hAnsi="Cambria"/>
          <w:b w:val="0"/>
          <w:i w:val="0"/>
          <w:color w:val="141A21"/>
          <w:sz w:val="22"/>
        </w:rPr>
        <w:t>Il convient donc de ne rien oublier lors de la constitution, faites-vous assister par des professionnels.</w:t>
      </w:r>
    </w:p>
    <w:p>
      <w:pPr>
        <w:pStyle w:val="Heading3"/>
        <w:spacing w:before="400" w:after="100" w:line="276" w:lineRule="auto"/>
      </w:pPr>
      <w:r>
        <w:rPr>
          <w:rFonts w:ascii="Calibri" w:hAnsi="Calibri"/>
          <w:b/>
          <w:i w:val="0"/>
          <w:color w:val="141A21"/>
          <w:sz w:val="27"/>
        </w:rPr>
        <w:t>Bien s'entourer pour créer sa société</w:t>
      </w:r>
    </w:p>
    <w:p>
      <w:pPr>
        <w:spacing w:before="0" w:after="180" w:line="264" w:lineRule="auto"/>
        <w:jc w:val="both"/>
      </w:pPr>
      <w:r>
        <w:rPr>
          <w:rFonts w:ascii="Cambria" w:hAnsi="Cambria"/>
          <w:b w:val="0"/>
          <w:i w:val="0"/>
          <w:color w:val="141A21"/>
          <w:sz w:val="22"/>
        </w:rPr>
        <w:t>En fait on décide ensemble des règles lors de la constitution des statuts, étape qui a toujours été a mes yeux la plus importante, on, les associés, travaille dans le même but de réaliser des bénéfices afin de pouvoir se les partager proportionnellement en respect des règles fixées entre eux.</w:t>
      </w:r>
    </w:p>
    <w:p>
      <w:pPr>
        <w:spacing w:before="0" w:after="180" w:line="264" w:lineRule="auto"/>
        <w:ind w:firstLine="340"/>
        <w:jc w:val="both"/>
      </w:pPr>
      <w:r>
        <w:rPr>
          <w:rFonts w:ascii="Cambria" w:hAnsi="Cambria"/>
          <w:b w:val="0"/>
          <w:i w:val="0"/>
          <w:color w:val="141A21"/>
          <w:sz w:val="22"/>
        </w:rPr>
        <w:t>Avant toute chose, le but principal d’une société c’est de regrouper « plusieurs personnes » pour réaliser un projet ; à plusieurs on avance plus vite, on dit souvent qu’il y a plus d’idées dans 2 têtes que dans une.</w:t>
      </w:r>
    </w:p>
    <w:p>
      <w:pPr>
        <w:spacing w:before="0" w:after="180" w:line="264" w:lineRule="auto"/>
        <w:ind w:firstLine="340"/>
        <w:jc w:val="both"/>
      </w:pPr>
      <w:r>
        <w:rPr>
          <w:rFonts w:ascii="Cambria" w:hAnsi="Cambria"/>
          <w:b w:val="0"/>
          <w:i w:val="0"/>
          <w:color w:val="141A21"/>
          <w:sz w:val="22"/>
        </w:rPr>
        <w:t>Ce principe me semble tellement fondamental que lorsque je créais des sociétés pour mes clients où il y avait plusieurs associés, soit des copains soit de la famille, j’imposais que la signature des statuts se déroule à mon bureau afin que je fasse la lecture à tous les associés et puisse répondre à leurs questions. De ce fait j’estimais que chacun avait été libre de signer ces actes les engageants.</w:t>
      </w:r>
    </w:p>
    <w:p>
      <w:pPr>
        <w:spacing w:before="0" w:after="180" w:line="264" w:lineRule="auto"/>
        <w:ind w:firstLine="340"/>
        <w:jc w:val="both"/>
      </w:pPr>
      <w:r>
        <w:rPr>
          <w:rFonts w:ascii="Cambria" w:hAnsi="Cambria"/>
          <w:b w:val="0"/>
          <w:i w:val="0"/>
          <w:color w:val="141A21"/>
          <w:sz w:val="22"/>
        </w:rPr>
        <w:t>Pour ma part j’ai toujours chéri ce principe. J’ai pratiquement toujours été associé avec une ou plusieurs personnes pour réaliser mes projets. Certes cela n’a pas toujours été bénéfique pour ma tranquillité psychologique et financière, mais je maintiens qu’à plusieurs on réalise de plus beaux projets. Certains « grands » ENTREPRENEURS ont démarré leur carrière tout seul, mais la plupart du temps , c’est grâce à l’ajout d’autres cerveaux , qu’ils ont pu figurer dans le palmarès des 500 plus riches français publié par CHALLENGE, chaque année.</w:t>
      </w:r>
    </w:p>
    <w:p>
      <w:pPr>
        <w:spacing w:before="0" w:after="180" w:line="264" w:lineRule="auto"/>
        <w:ind w:firstLine="340"/>
        <w:jc w:val="both"/>
      </w:pPr>
      <w:r>
        <w:rPr>
          <w:rFonts w:ascii="Cambria" w:hAnsi="Cambria"/>
          <w:b w:val="0"/>
          <w:i w:val="0"/>
          <w:color w:val="141A21"/>
          <w:sz w:val="22"/>
        </w:rPr>
        <w:t>Il faut bien une exception à la règle du dictionnaire et c’est le législateur qui a permit cette règle, en autorisant la création de sociétés commerciales avec un seul associé, comme l’EURL (entreprise unipersonnelle à responsabilité limitée) et la SASU (société par actions simplifiées unipersonnelle), mais il me semble quant même que l’objet premier d’une société c’est d’être plusieurs associés.</w:t>
      </w:r>
    </w:p>
    <w:p>
      <w:pPr>
        <w:spacing w:before="0" w:after="180" w:line="264" w:lineRule="auto"/>
        <w:ind w:firstLine="340"/>
        <w:jc w:val="both"/>
      </w:pPr>
      <w:r>
        <w:rPr>
          <w:rFonts w:ascii="Cambria" w:hAnsi="Cambria"/>
          <w:b w:val="0"/>
          <w:i w:val="0"/>
          <w:color w:val="141A21"/>
          <w:sz w:val="22"/>
        </w:rPr>
        <w:t>A chaque fois que je me rends à une réunion pour signer la constitution d’une société, je pense toujours à mon professeur de droit à l’Ecole Nationale de Commerce, qui nous plaçait régulièrement dans ses cours, « quand une société est constituée avec plusieurs associés, il y en a toujours un de trop !». ca aussi c’est souvent vrai. La vie à plusieurs n’est jamais simple. D’ailleurs ne dit on pas il vaut mieux un petit chez soi qu’un grand chez les autres. Mais sans paraphraser Coluche, j’ai toujours pensé qu’on pouvait se créer un grand AVEC les autres.</w:t>
      </w:r>
    </w:p>
    <w:p>
      <w:pPr>
        <w:spacing w:before="0" w:after="180" w:line="264" w:lineRule="auto"/>
        <w:ind w:firstLine="340"/>
        <w:jc w:val="both"/>
      </w:pPr>
      <w:r>
        <w:rPr>
          <w:rFonts w:ascii="Cambria" w:hAnsi="Cambria"/>
          <w:b w:val="0"/>
          <w:i w:val="0"/>
          <w:color w:val="141A21"/>
          <w:sz w:val="22"/>
        </w:rPr>
        <w:t>Vous aurez compris que ce mode d’organisation juridique est mon préféré et je vous dévoilerais plus tard pourquoi. Néanmoins c’est une étape très importante car vous allez choisir votre organisation juridique et parfois fiscale pour VOTRE ENTREPRISE et ceci pour 99 ans, il ne faut pas se planter !</w:t>
      </w:r>
    </w:p>
    <w:p>
      <w:pPr>
        <w:spacing w:before="0" w:after="180" w:line="264" w:lineRule="auto"/>
        <w:ind w:firstLine="340"/>
        <w:jc w:val="both"/>
      </w:pPr>
      <w:r>
        <w:rPr>
          <w:rFonts w:ascii="Cambria" w:hAnsi="Cambria"/>
          <w:b w:val="0"/>
          <w:i w:val="0"/>
          <w:color w:val="141A21"/>
          <w:sz w:val="22"/>
        </w:rPr>
        <w:t>Je profite de ce moment pour vous faire part de mon expérience et même si souvent on me reproche d’exposer ces faits juste pour amener de l’eau à mon moulin. Le choix juridique de votre société, nous venons d’en parler, est primordial à votre tranquillité d’esprit, donc ne lésiner pas sur les moyens, rapprochez-vous d’un des 3 professionnels qualifiés qui sont les notaires, les avocats et les experts-comptables. Sans faire de chauvinisme dans le cas de la création d’une société à objet commerciale, aller voir un expert-comptable, car lui il aura une vision de gestion d’avenir car en fonction du choix retenu il y a aura des choix fiscaux qui s’appliqueront et dont le professionnel devra « enregistrer » dans votre comptabilité. Il met souvent arrivé d’être missionné pour « gérer » la comptabilité, par une personne ayant créer sa société avec son notaire en charge de l’acte d’acquisition d’un bien immobilier et de constater que l’option pour l’assujettissement à la TVA n’avait pas été envisager, ou l’avocat ayant réalisé l’acquisition d’un fonds de commerce et n’ayant pas précisément ventiler les actifs corporels et incorporels, la conséquence étant la possibilité de déduire ou pas des amortissements donc de constater des charges déductibles dans la détermination du résultat fiscal.</w:t>
      </w:r>
    </w:p>
    <w:p>
      <w:pPr>
        <w:spacing w:before="0" w:after="180" w:line="264" w:lineRule="auto"/>
        <w:ind w:firstLine="340"/>
        <w:jc w:val="both"/>
      </w:pPr>
      <w:r>
        <w:rPr>
          <w:rFonts w:ascii="Cambria" w:hAnsi="Cambria"/>
          <w:b w:val="0"/>
          <w:i w:val="0"/>
          <w:color w:val="141A21"/>
          <w:sz w:val="22"/>
        </w:rPr>
        <w:t>Mais il faut rester lucide, la grande majorité de ces professionnels reste compétent.</w:t>
      </w:r>
    </w:p>
    <w:p>
      <w:r>
        <w:br w:type="page"/>
      </w:r>
    </w:p>
    <w:p>
      <w:pPr>
        <w:pStyle w:val="Heading2"/>
        <w:spacing w:before="240" w:after="200" w:line="276" w:lineRule="auto"/>
      </w:pPr>
      <w:r>
        <w:rPr>
          <w:rFonts w:ascii="Calibri" w:hAnsi="Calibri"/>
          <w:b/>
          <w:i w:val="0"/>
          <w:color w:val="3A5488"/>
          <w:sz w:val="36"/>
        </w:rPr>
        <w:t>Chapitre 11 — Les différents types de société</w:t>
      </w:r>
    </w:p>
    <w:p>
      <w:pPr>
        <w:spacing w:before="0" w:after="180" w:line="264" w:lineRule="auto"/>
        <w:jc w:val="both"/>
      </w:pPr>
      <w:r>
        <w:rPr>
          <w:rFonts w:ascii="Cambria" w:hAnsi="Cambria"/>
          <w:b w:val="0"/>
          <w:i w:val="0"/>
          <w:color w:val="141A21"/>
          <w:sz w:val="22"/>
        </w:rPr>
        <w:t>SARL SASU EURL SCI etc.</w:t>
      </w:r>
    </w:p>
    <w:p>
      <w:pPr>
        <w:spacing w:before="0" w:after="180" w:line="264" w:lineRule="auto"/>
        <w:ind w:firstLine="340"/>
        <w:jc w:val="both"/>
      </w:pPr>
      <w:r>
        <w:rPr>
          <w:rFonts w:ascii="Cambria" w:hAnsi="Cambria"/>
          <w:b w:val="0"/>
          <w:i w:val="0"/>
          <w:color w:val="141A21"/>
          <w:sz w:val="22"/>
        </w:rPr>
        <w:t>Quel type de société choisir en fonction de son profil : investisseur immobilier / entrepreneur</w:t>
      </w:r>
    </w:p>
    <w:p>
      <w:pPr>
        <w:pStyle w:val="Heading3"/>
        <w:spacing w:before="400" w:after="100" w:line="276" w:lineRule="auto"/>
      </w:pPr>
      <w:r>
        <w:rPr>
          <w:rFonts w:ascii="Calibri" w:hAnsi="Calibri"/>
          <w:b/>
          <w:i w:val="0"/>
          <w:color w:val="141A21"/>
          <w:sz w:val="27"/>
        </w:rPr>
        <w:t>Société civile ou société commerciale ?</w:t>
      </w:r>
    </w:p>
    <w:p>
      <w:pPr>
        <w:spacing w:before="0" w:after="180" w:line="264" w:lineRule="auto"/>
        <w:jc w:val="both"/>
      </w:pPr>
      <w:r>
        <w:rPr>
          <w:rFonts w:ascii="Cambria" w:hAnsi="Cambria"/>
          <w:b w:val="0"/>
          <w:i w:val="0"/>
          <w:color w:val="141A21"/>
          <w:sz w:val="22"/>
        </w:rPr>
        <w:t>Comme nous l’avons vu plus haut, la société permet de réaliser un projet commun, affectio societatis, entre plusieurs personnes, les associés.</w:t>
      </w:r>
    </w:p>
    <w:p>
      <w:pPr>
        <w:spacing w:before="0" w:after="180" w:line="264" w:lineRule="auto"/>
        <w:ind w:firstLine="340"/>
        <w:jc w:val="both"/>
      </w:pPr>
      <w:r>
        <w:rPr>
          <w:rFonts w:ascii="Cambria" w:hAnsi="Cambria"/>
          <w:b w:val="0"/>
          <w:i w:val="0"/>
          <w:color w:val="141A21"/>
          <w:sz w:val="22"/>
        </w:rPr>
        <w:t>Nous constatons deux types de sociétés :</w:t>
      </w:r>
    </w:p>
    <w:p>
      <w:pPr>
        <w:spacing w:before="0" w:after="180" w:line="264" w:lineRule="auto"/>
        <w:ind w:firstLine="340"/>
        <w:jc w:val="both"/>
      </w:pPr>
      <w:r>
        <w:rPr>
          <w:rFonts w:ascii="Cambria" w:hAnsi="Cambria"/>
          <w:b w:val="0"/>
          <w:i w:val="0"/>
          <w:color w:val="141A21"/>
          <w:sz w:val="22"/>
        </w:rPr>
        <w:t>La société civile et la société commerciale</w:t>
      </w:r>
    </w:p>
    <w:p>
      <w:pPr>
        <w:spacing w:before="0" w:after="180" w:line="264" w:lineRule="auto"/>
        <w:ind w:firstLine="340"/>
        <w:jc w:val="both"/>
      </w:pPr>
      <w:r>
        <w:rPr>
          <w:rFonts w:ascii="Cambria" w:hAnsi="Cambria"/>
          <w:b w:val="0"/>
          <w:i w:val="0"/>
          <w:color w:val="141A21"/>
          <w:sz w:val="22"/>
        </w:rPr>
        <w:t>L’une, la société civile est régie par les règles du code civil et la société commerciale applique majoritairement le code civil mais également le code de commerce. La grande différence est essentiellement dans la responsabilité des associés.</w:t>
      </w:r>
    </w:p>
    <w:p>
      <w:pPr>
        <w:spacing w:before="0" w:after="180" w:line="264" w:lineRule="auto"/>
        <w:ind w:firstLine="340"/>
        <w:jc w:val="both"/>
      </w:pPr>
      <w:r>
        <w:rPr>
          <w:rFonts w:ascii="Cambria" w:hAnsi="Cambria"/>
          <w:b w:val="0"/>
          <w:i w:val="0"/>
          <w:color w:val="141A21"/>
          <w:sz w:val="22"/>
        </w:rPr>
        <w:t>Il convient donc de bien choisir son statut juridique. Celui-ci sera différent si vous décidez de vous lancer seul ou avec des associés. Par rapport à ce que je vous évoquait avant j’ai rencontré tous les cas comme l’entrepreneur démarrant son projet seul car pas sûr de lui ne voulait pas entrainer ses copains dans sa galère et qui fini par intégrer des associés au fur et à mesuré que le projet se construit et qu’il reconnait qu’il a besoin de compétences complémentaires et certains comme Bertrand qui a créer avec 2 associés une société dans la création de tubes flexibles et qui n’avait plus la même vision stratégique que ses associés a fini par leur racheter leur titre et qui maintenant est seul aux manettes d’une société qui fonctionne très bien.</w:t>
      </w:r>
    </w:p>
    <w:p>
      <w:pPr>
        <w:spacing w:before="0" w:after="180" w:line="264" w:lineRule="auto"/>
        <w:ind w:firstLine="340"/>
        <w:jc w:val="both"/>
      </w:pPr>
      <w:r>
        <w:rPr>
          <w:rFonts w:ascii="Cambria" w:hAnsi="Cambria"/>
          <w:b w:val="0"/>
          <w:i w:val="0"/>
          <w:color w:val="141A21"/>
          <w:sz w:val="22"/>
        </w:rPr>
        <w:t>J’aime à dire que les statuts sont l’acte de naissance de la société et l’extrait k-bis sa carte d’identité et qui permet à la société de jouir de la personnalité morale.</w:t>
      </w:r>
    </w:p>
    <w:p>
      <w:pPr>
        <w:spacing w:before="0" w:after="180" w:line="264" w:lineRule="auto"/>
        <w:ind w:firstLine="340"/>
        <w:jc w:val="both"/>
      </w:pPr>
      <w:r>
        <w:rPr>
          <w:rFonts w:ascii="Cambria" w:hAnsi="Cambria"/>
          <w:b w:val="0"/>
          <w:i w:val="0"/>
          <w:color w:val="141A21"/>
          <w:sz w:val="22"/>
        </w:rPr>
        <w:t>Nous verrons donc les différentes sortes d’entreprises en fonction de votre souhait de démarrer seul ou pas sachant que cette situation peut évoluer en fonctions des besoins. N’oubliez pas que le choix de votre structure va engendrer des avantages et des inconvénients. J’ai voulu vous synthétiser les éléments essentiels à chaque statut et je vous renverrai à différents ouvrages techniques comme celui que j’ai beaucoup apprécié de Sabine WOJTAS et Laurent FARRAUD.</w:t>
      </w:r>
    </w:p>
    <w:p>
      <w:pPr>
        <w:spacing w:before="0" w:after="180" w:line="264" w:lineRule="auto"/>
        <w:ind w:firstLine="340"/>
        <w:jc w:val="both"/>
      </w:pPr>
      <w:r>
        <w:rPr>
          <w:rFonts w:ascii="Cambria" w:hAnsi="Cambria"/>
          <w:b w:val="0"/>
          <w:i w:val="0"/>
          <w:color w:val="141A21"/>
          <w:sz w:val="22"/>
        </w:rPr>
        <w:t>Malgré que ce chapitre est axé sur la société je vais néanmoins vous rafraichir la mémoire sur le statut d’entreprise individuelle afin de le comparer à la société pour mieux comprendre leurs différences.</w:t>
      </w:r>
    </w:p>
    <w:p>
      <w:pPr>
        <w:pStyle w:val="Heading3"/>
        <w:spacing w:before="400" w:after="100" w:line="276" w:lineRule="auto"/>
      </w:pPr>
      <w:r>
        <w:rPr>
          <w:rFonts w:ascii="Calibri" w:hAnsi="Calibri"/>
          <w:b/>
          <w:i w:val="0"/>
          <w:color w:val="141A21"/>
          <w:sz w:val="27"/>
        </w:rPr>
        <w:t>Démarrer en solo : auto-entrepreneur, EIRL ou EURL</w:t>
      </w:r>
    </w:p>
    <w:p>
      <w:pPr>
        <w:spacing w:before="0" w:after="180" w:line="264" w:lineRule="auto"/>
        <w:jc w:val="both"/>
      </w:pPr>
      <w:r>
        <w:rPr>
          <w:rFonts w:ascii="Cambria" w:hAnsi="Cambria"/>
          <w:b w:val="0"/>
          <w:i w:val="0"/>
          <w:color w:val="141A21"/>
          <w:sz w:val="22"/>
        </w:rPr>
        <w:t>Vous avez l'âme d'un solitaire, vous ne vous voyez pas manager une équipe, les ressources humaines ne sont pas votre fort, vous souhaitez conserver une totale indépendance. Ou bien encore vous voulez démarrer à petite échelle, le temps de tester votre projet en conditions réelles avant d'envisager éventuellement d'évoluer plus grand alors utilisé un outil prévu pour fonctionner avec un seul chef d’entreprise.</w:t>
      </w:r>
    </w:p>
    <w:p>
      <w:pPr>
        <w:spacing w:before="0" w:after="180" w:line="264" w:lineRule="auto"/>
        <w:ind w:firstLine="340"/>
        <w:jc w:val="both"/>
      </w:pPr>
      <w:r>
        <w:rPr>
          <w:rFonts w:ascii="Cambria" w:hAnsi="Cambria"/>
          <w:b w:val="0"/>
          <w:i w:val="0"/>
          <w:color w:val="141A21"/>
          <w:sz w:val="22"/>
        </w:rPr>
        <w:t>On fait un petit focus sur « l'auto-entreprise », un statut à la mode qui connait un franc succès depuis sa mise en place le 1er janvier 2009, ce statut permet à une personne seule de créer une entreprise pour exercer une activité commerciale, artisanales ou libérale, à titre principal ou complémentaire.</w:t>
      </w:r>
    </w:p>
    <w:p>
      <w:pPr>
        <w:spacing w:before="0" w:after="180" w:line="264" w:lineRule="auto"/>
        <w:ind w:firstLine="340"/>
        <w:jc w:val="both"/>
      </w:pPr>
      <w:r>
        <w:rPr>
          <w:rFonts w:ascii="Cambria" w:hAnsi="Cambria"/>
          <w:b w:val="0"/>
          <w:i w:val="0"/>
          <w:color w:val="141A21"/>
          <w:sz w:val="22"/>
        </w:rPr>
        <w:t>Le succès de ce régime réside dans sa simplicité, tant pour la déclaration de l'activité que pour les obligations comptables et fiscales. En effet vous pouvez devenir auto-entrepreneur via les sites dédiés en 5 minutes.</w:t>
      </w:r>
    </w:p>
    <w:p>
      <w:pPr>
        <w:spacing w:before="0" w:after="180" w:line="264" w:lineRule="auto"/>
        <w:ind w:firstLine="340"/>
        <w:jc w:val="both"/>
      </w:pPr>
      <w:r>
        <w:rPr>
          <w:rFonts w:ascii="Cambria" w:hAnsi="Cambria"/>
          <w:b w:val="0"/>
          <w:i w:val="0"/>
          <w:color w:val="141A21"/>
          <w:sz w:val="22"/>
        </w:rPr>
        <w:t>Outre sa simplicité et sa facilité d'accès, ce régime vous permet de bénéficier :</w:t>
      </w:r>
    </w:p>
    <w:p>
      <w:pPr>
        <w:spacing w:before="0" w:after="180" w:line="264" w:lineRule="auto"/>
        <w:ind w:firstLine="340"/>
        <w:jc w:val="both"/>
      </w:pPr>
      <w:r>
        <w:rPr>
          <w:rFonts w:ascii="Cambria" w:hAnsi="Cambria"/>
          <w:b w:val="0"/>
          <w:i w:val="0"/>
          <w:color w:val="141A21"/>
          <w:sz w:val="22"/>
        </w:rPr>
        <w:t>D'une dispense d'immatriculation au Registre du commerce et des sociétés pour les commerçants ;</w:t>
      </w:r>
    </w:p>
    <w:p>
      <w:pPr>
        <w:spacing w:before="0" w:after="180" w:line="264" w:lineRule="auto"/>
        <w:ind w:firstLine="340"/>
        <w:jc w:val="both"/>
      </w:pPr>
      <w:r>
        <w:rPr>
          <w:rFonts w:ascii="Cambria" w:hAnsi="Cambria"/>
          <w:b w:val="0"/>
          <w:i w:val="0"/>
          <w:color w:val="141A21"/>
          <w:sz w:val="22"/>
        </w:rPr>
        <w:t>D'une exonération de TVA ;</w:t>
      </w:r>
    </w:p>
    <w:p>
      <w:pPr>
        <w:spacing w:before="0" w:after="180" w:line="264" w:lineRule="auto"/>
        <w:ind w:firstLine="340"/>
        <w:jc w:val="both"/>
      </w:pPr>
      <w:r>
        <w:rPr>
          <w:rFonts w:ascii="Cambria" w:hAnsi="Cambria"/>
          <w:b w:val="0"/>
          <w:i w:val="0"/>
          <w:color w:val="141A21"/>
          <w:sz w:val="22"/>
        </w:rPr>
        <w:t>Du régime microsocial simplifié ;</w:t>
      </w:r>
    </w:p>
    <w:p>
      <w:pPr>
        <w:spacing w:before="0" w:after="180" w:line="264" w:lineRule="auto"/>
        <w:ind w:firstLine="340"/>
        <w:jc w:val="both"/>
      </w:pPr>
      <w:r>
        <w:rPr>
          <w:rFonts w:ascii="Cambria" w:hAnsi="Cambria"/>
          <w:b w:val="0"/>
          <w:i w:val="0"/>
          <w:color w:val="141A21"/>
          <w:sz w:val="22"/>
        </w:rPr>
        <w:t>Du régime fiscal de la micro-entreprise ;</w:t>
      </w:r>
    </w:p>
    <w:p>
      <w:pPr>
        <w:spacing w:before="0" w:after="180" w:line="264" w:lineRule="auto"/>
        <w:ind w:firstLine="340"/>
        <w:jc w:val="both"/>
      </w:pPr>
      <w:r>
        <w:rPr>
          <w:rFonts w:ascii="Cambria" w:hAnsi="Cambria"/>
          <w:b w:val="0"/>
          <w:i w:val="0"/>
          <w:color w:val="141A21"/>
          <w:sz w:val="22"/>
        </w:rPr>
        <w:t>D'une exonération temporaire de la cotisation foncière des entreprises ;</w:t>
      </w:r>
    </w:p>
    <w:p>
      <w:pPr>
        <w:spacing w:before="0" w:after="180" w:line="264" w:lineRule="auto"/>
        <w:ind w:firstLine="340"/>
        <w:jc w:val="both"/>
      </w:pPr>
      <w:r>
        <w:rPr>
          <w:rFonts w:ascii="Cambria" w:hAnsi="Cambria"/>
          <w:b w:val="0"/>
          <w:i w:val="0"/>
          <w:color w:val="141A21"/>
          <w:sz w:val="22"/>
        </w:rPr>
        <w:t>En outre, vous pouvez devenir auto-entrepreneur en étant salarié, retraité ou inscrit à Pole Emploi, ce qui peut constituer un complément de revenus.</w:t>
      </w:r>
    </w:p>
    <w:p>
      <w:pPr>
        <w:spacing w:before="0" w:after="180" w:line="264" w:lineRule="auto"/>
        <w:ind w:firstLine="340"/>
        <w:jc w:val="both"/>
      </w:pPr>
      <w:r>
        <w:rPr>
          <w:rFonts w:ascii="Cambria" w:hAnsi="Cambria"/>
          <w:b w:val="0"/>
          <w:i w:val="0"/>
          <w:color w:val="141A21"/>
          <w:sz w:val="22"/>
        </w:rPr>
        <w:t>Ce statut est donc idéal pour tester une idée à petite échelle et voir si elle peut se développer, plus ou moins rapidement, l'idéal étant de sortir du régime de l'auto-entrepreneur pour adopter une structure commerciale traditionnelle.</w:t>
      </w:r>
    </w:p>
    <w:p>
      <w:pPr>
        <w:spacing w:before="0" w:after="180" w:line="264" w:lineRule="auto"/>
        <w:ind w:firstLine="340"/>
        <w:jc w:val="both"/>
      </w:pPr>
      <w:r>
        <w:rPr>
          <w:rFonts w:ascii="Cambria" w:hAnsi="Cambria"/>
          <w:b w:val="0"/>
          <w:i w:val="0"/>
          <w:color w:val="141A21"/>
          <w:sz w:val="22"/>
        </w:rPr>
        <w:t>Néanmoins ce régime n'est pas sans contraintes, la principale est la limitation du chiffre d'affaires, celui ci ne doit pas dépasser :</w:t>
      </w:r>
    </w:p>
    <w:p>
      <w:pPr>
        <w:spacing w:before="0" w:after="180" w:line="264" w:lineRule="auto"/>
        <w:ind w:firstLine="340"/>
        <w:jc w:val="both"/>
      </w:pPr>
      <w:r>
        <w:rPr>
          <w:rFonts w:ascii="Cambria" w:hAnsi="Cambria"/>
          <w:b w:val="0"/>
          <w:i w:val="0"/>
          <w:color w:val="141A21"/>
          <w:sz w:val="22"/>
        </w:rPr>
        <w:t>82800€ HT pour une activité d'achat/revente, de vente à consommer sur pace et de prestations d'hébergement,</w:t>
      </w:r>
    </w:p>
    <w:p>
      <w:pPr>
        <w:spacing w:before="0" w:after="180" w:line="264" w:lineRule="auto"/>
        <w:ind w:firstLine="340"/>
        <w:jc w:val="both"/>
      </w:pPr>
      <w:r>
        <w:rPr>
          <w:rFonts w:ascii="Cambria" w:hAnsi="Cambria"/>
          <w:b w:val="0"/>
          <w:i w:val="0"/>
          <w:color w:val="141A21"/>
          <w:sz w:val="22"/>
        </w:rPr>
        <w:t>33200€ Ht pour les prestations de services et les professions libérales.</w:t>
      </w:r>
    </w:p>
    <w:p>
      <w:pPr>
        <w:spacing w:before="0" w:after="180" w:line="264" w:lineRule="auto"/>
        <w:ind w:firstLine="340"/>
        <w:jc w:val="both"/>
      </w:pPr>
      <w:r>
        <w:rPr>
          <w:rFonts w:ascii="Cambria" w:hAnsi="Cambria"/>
          <w:b w:val="0"/>
          <w:i w:val="0"/>
          <w:color w:val="141A21"/>
          <w:sz w:val="22"/>
        </w:rPr>
        <w:t>Ne comptez pas sur ce régime pour faire fortune. Faites attention aux dépenses engagées pour l'exercice de votre activité, vous étés personnellement et indéfiniment responsable de ces dépenses et n'êtes pas à l'abri de saisies en cas de dettes</w:t>
      </w:r>
    </w:p>
    <w:p>
      <w:pPr>
        <w:spacing w:before="0" w:after="180" w:line="264" w:lineRule="auto"/>
        <w:ind w:firstLine="340"/>
        <w:jc w:val="both"/>
      </w:pPr>
      <w:r>
        <w:rPr>
          <w:rFonts w:ascii="Cambria" w:hAnsi="Cambria"/>
          <w:b w:val="0"/>
          <w:i w:val="0"/>
          <w:color w:val="141A21"/>
          <w:sz w:val="22"/>
        </w:rPr>
        <w:t>Le régime social est simplifié et ouvre droit à l'assurance maladie et à la retraite :</w:t>
      </w:r>
    </w:p>
    <w:p>
      <w:pPr>
        <w:spacing w:before="0" w:after="180" w:line="264" w:lineRule="auto"/>
        <w:ind w:firstLine="340"/>
        <w:jc w:val="both"/>
      </w:pPr>
      <w:r>
        <w:rPr>
          <w:rFonts w:ascii="Cambria" w:hAnsi="Cambria"/>
          <w:b w:val="0"/>
          <w:i w:val="0"/>
          <w:color w:val="141A21"/>
          <w:sz w:val="22"/>
        </w:rPr>
        <w:t>Assurance maladie : vous relevez du Régime Social des Indépendants (RSI) que vous soyez artisan, commerçant ou profession libérale. Vous bénéficiez des mêmes prestations maladie en nature que les salariés et vous avez également droit à des prestations maternité et paternité.</w:t>
      </w:r>
    </w:p>
    <w:p>
      <w:pPr>
        <w:spacing w:before="0" w:after="180" w:line="264" w:lineRule="auto"/>
        <w:ind w:firstLine="340"/>
        <w:jc w:val="both"/>
      </w:pPr>
      <w:r>
        <w:rPr>
          <w:rFonts w:ascii="Cambria" w:hAnsi="Cambria"/>
          <w:b w:val="0"/>
          <w:i w:val="0"/>
          <w:color w:val="141A21"/>
          <w:sz w:val="22"/>
        </w:rPr>
        <w:t>Retraite de base et retraite complémentaire : vos droits dépendent de la réalisation d'un chiffre d'affaires minimum :</w:t>
      </w:r>
    </w:p>
    <w:p>
      <w:pPr>
        <w:spacing w:before="0" w:after="180" w:line="264" w:lineRule="auto"/>
        <w:ind w:firstLine="340"/>
        <w:jc w:val="both"/>
      </w:pPr>
      <w:r>
        <w:rPr>
          <w:rFonts w:ascii="Cambria" w:hAnsi="Cambria"/>
          <w:b w:val="0"/>
          <w:i w:val="0"/>
          <w:color w:val="141A21"/>
          <w:sz w:val="22"/>
        </w:rPr>
        <w:t>6.501 € pour une activité de vente de marchandises, de fourniture de logement ou de prestations d'hébergement (validation d'un seul trimestre) ;</w:t>
      </w:r>
    </w:p>
    <w:p>
      <w:pPr>
        <w:spacing w:before="0" w:after="180" w:line="264" w:lineRule="auto"/>
        <w:ind w:firstLine="340"/>
        <w:jc w:val="both"/>
      </w:pPr>
      <w:r>
        <w:rPr>
          <w:rFonts w:ascii="Cambria" w:hAnsi="Cambria"/>
          <w:b w:val="0"/>
          <w:i w:val="0"/>
          <w:color w:val="141A21"/>
          <w:sz w:val="22"/>
        </w:rPr>
        <w:t>3.772 € pour une activité de prestation de services (validation d'u seul trimestre) ;</w:t>
      </w:r>
    </w:p>
    <w:p>
      <w:pPr>
        <w:spacing w:before="0" w:after="180" w:line="264" w:lineRule="auto"/>
        <w:ind w:firstLine="340"/>
        <w:jc w:val="both"/>
      </w:pPr>
      <w:r>
        <w:rPr>
          <w:rFonts w:ascii="Cambria" w:hAnsi="Cambria"/>
          <w:b w:val="0"/>
          <w:i w:val="0"/>
          <w:color w:val="141A21"/>
          <w:sz w:val="22"/>
        </w:rPr>
        <w:t>2.858 € pour une activité libérale relevant de la Cipav (caisse interprofessionnelle de prévoyance et d'assurance vieillesse) ou de RSI (validation d'un seul trimestre)</w:t>
      </w:r>
    </w:p>
    <w:p>
      <w:pPr>
        <w:spacing w:before="0" w:after="180" w:line="264" w:lineRule="auto"/>
        <w:ind w:firstLine="340"/>
        <w:jc w:val="both"/>
      </w:pPr>
      <w:r>
        <w:rPr>
          <w:rFonts w:ascii="Cambria" w:hAnsi="Cambria"/>
          <w:b w:val="0"/>
          <w:i w:val="0"/>
          <w:color w:val="141A21"/>
          <w:sz w:val="22"/>
        </w:rPr>
        <w:t>Vous pouvez payer vos charges sociales mensuellement ou trimestriellement en fonction du chiffre d'affaires déclaré :</w:t>
      </w:r>
    </w:p>
    <w:p>
      <w:pPr>
        <w:spacing w:before="0" w:after="180" w:line="264" w:lineRule="auto"/>
        <w:ind w:firstLine="340"/>
        <w:jc w:val="both"/>
      </w:pPr>
      <w:r>
        <w:rPr>
          <w:rFonts w:ascii="Cambria" w:hAnsi="Cambria"/>
          <w:b w:val="0"/>
          <w:i w:val="0"/>
          <w:color w:val="141A21"/>
          <w:sz w:val="22"/>
        </w:rPr>
        <w:t>14% pour une activité d'achat-revente, de vente à consommer sur place et de prestations d'hébergement ;</w:t>
      </w:r>
    </w:p>
    <w:p>
      <w:pPr>
        <w:spacing w:before="0" w:after="180" w:line="264" w:lineRule="auto"/>
        <w:ind w:firstLine="340"/>
        <w:jc w:val="both"/>
      </w:pPr>
      <w:r>
        <w:rPr>
          <w:rFonts w:ascii="Cambria" w:hAnsi="Cambria"/>
          <w:b w:val="0"/>
          <w:i w:val="0"/>
          <w:color w:val="141A21"/>
          <w:sz w:val="22"/>
        </w:rPr>
        <w:t>24,6% pour les prestations de services et pour les professions libérales relevant du RSI ;</w:t>
      </w:r>
    </w:p>
    <w:p>
      <w:pPr>
        <w:spacing w:before="0" w:after="180" w:line="264" w:lineRule="auto"/>
        <w:ind w:firstLine="340"/>
        <w:jc w:val="both"/>
      </w:pPr>
      <w:r>
        <w:rPr>
          <w:rFonts w:ascii="Cambria" w:hAnsi="Cambria"/>
          <w:b w:val="0"/>
          <w:i w:val="0"/>
          <w:color w:val="141A21"/>
          <w:sz w:val="22"/>
        </w:rPr>
        <w:t>21,3% pour les activités libérales relevant de la Cipav.</w:t>
      </w:r>
    </w:p>
    <w:p>
      <w:pPr>
        <w:spacing w:before="0" w:after="180" w:line="264" w:lineRule="auto"/>
        <w:ind w:firstLine="340"/>
        <w:jc w:val="both"/>
      </w:pPr>
      <w:r>
        <w:rPr>
          <w:rFonts w:ascii="Cambria" w:hAnsi="Cambria"/>
          <w:b w:val="0"/>
          <w:i w:val="0"/>
          <w:color w:val="141A21"/>
          <w:sz w:val="22"/>
        </w:rPr>
        <w:t>Auxquelles s'ajoute une contribution à la formation professionnelle :</w:t>
      </w:r>
    </w:p>
    <w:p>
      <w:pPr>
        <w:spacing w:before="0" w:after="180" w:line="264" w:lineRule="auto"/>
        <w:ind w:firstLine="340"/>
        <w:jc w:val="both"/>
      </w:pPr>
      <w:r>
        <w:rPr>
          <w:rFonts w:ascii="Cambria" w:hAnsi="Cambria"/>
          <w:b w:val="0"/>
          <w:i w:val="0"/>
          <w:color w:val="141A21"/>
          <w:sz w:val="22"/>
        </w:rPr>
        <w:t>0,1% du chiffre d'affaires annuel si vous étés commerçant ;</w:t>
      </w:r>
    </w:p>
    <w:p>
      <w:pPr>
        <w:spacing w:before="0" w:after="180" w:line="264" w:lineRule="auto"/>
        <w:ind w:firstLine="340"/>
        <w:jc w:val="both"/>
      </w:pPr>
      <w:r>
        <w:rPr>
          <w:rFonts w:ascii="Cambria" w:hAnsi="Cambria"/>
          <w:b w:val="0"/>
          <w:i w:val="0"/>
          <w:color w:val="141A21"/>
          <w:sz w:val="22"/>
        </w:rPr>
        <w:t>0,2% si vous êtes profession libérale ;</w:t>
      </w:r>
    </w:p>
    <w:p>
      <w:pPr>
        <w:spacing w:before="0" w:after="180" w:line="264" w:lineRule="auto"/>
        <w:ind w:firstLine="340"/>
        <w:jc w:val="both"/>
      </w:pPr>
      <w:r>
        <w:rPr>
          <w:rFonts w:ascii="Cambria" w:hAnsi="Cambria"/>
          <w:b w:val="0"/>
          <w:i w:val="0"/>
          <w:color w:val="141A21"/>
          <w:sz w:val="22"/>
        </w:rPr>
        <w:t>0,3% si vous avez une activité de prestations de services.</w:t>
      </w:r>
    </w:p>
    <w:p>
      <w:pPr>
        <w:spacing w:before="0" w:after="180" w:line="264" w:lineRule="auto"/>
        <w:ind w:firstLine="340"/>
        <w:jc w:val="both"/>
      </w:pPr>
      <w:r>
        <w:rPr>
          <w:rFonts w:ascii="Cambria" w:hAnsi="Cambria"/>
          <w:b w:val="0"/>
          <w:i w:val="0"/>
          <w:color w:val="141A21"/>
          <w:sz w:val="22"/>
        </w:rPr>
        <w:t>Vous pouvez également préférez le versement libératoire de l'impôt sur le revenu, lors de vos déclarations mensuelles ou trimestrielle en appliquant le taux sur le chiffre d'affaires :</w:t>
      </w:r>
    </w:p>
    <w:p>
      <w:pPr>
        <w:spacing w:before="0" w:after="180" w:line="264" w:lineRule="auto"/>
        <w:ind w:firstLine="340"/>
        <w:jc w:val="both"/>
      </w:pPr>
      <w:r>
        <w:rPr>
          <w:rFonts w:ascii="Cambria" w:hAnsi="Cambria"/>
          <w:b w:val="0"/>
          <w:i w:val="0"/>
          <w:color w:val="141A21"/>
          <w:sz w:val="22"/>
        </w:rPr>
        <w:t>1% pour les activités commerciales ;</w:t>
      </w:r>
    </w:p>
    <w:p>
      <w:pPr>
        <w:spacing w:before="0" w:after="180" w:line="264" w:lineRule="auto"/>
        <w:ind w:firstLine="340"/>
        <w:jc w:val="both"/>
      </w:pPr>
      <w:r>
        <w:rPr>
          <w:rFonts w:ascii="Cambria" w:hAnsi="Cambria"/>
          <w:b w:val="0"/>
          <w:i w:val="0"/>
          <w:color w:val="141A21"/>
          <w:sz w:val="22"/>
        </w:rPr>
        <w:t>1,7% pour les activités de prestations de services ;</w:t>
      </w:r>
    </w:p>
    <w:p>
      <w:pPr>
        <w:spacing w:before="0" w:after="180" w:line="264" w:lineRule="auto"/>
        <w:ind w:firstLine="340"/>
        <w:jc w:val="both"/>
      </w:pPr>
      <w:r>
        <w:rPr>
          <w:rFonts w:ascii="Cambria" w:hAnsi="Cambria"/>
          <w:b w:val="0"/>
          <w:i w:val="0"/>
          <w:color w:val="141A21"/>
          <w:sz w:val="22"/>
        </w:rPr>
        <w:t>2,2% pour les professions libérales.</w:t>
      </w:r>
    </w:p>
    <w:p>
      <w:pPr>
        <w:spacing w:before="0" w:after="180" w:line="264" w:lineRule="auto"/>
        <w:ind w:firstLine="340"/>
        <w:jc w:val="both"/>
      </w:pPr>
      <w:r>
        <w:rPr>
          <w:rFonts w:ascii="Cambria" w:hAnsi="Cambria"/>
          <w:b w:val="0"/>
          <w:i w:val="0"/>
          <w:color w:val="141A21"/>
          <w:sz w:val="22"/>
        </w:rPr>
        <w:t>Au total, selon votre activité, les charges représenteront :</w:t>
      </w:r>
    </w:p>
    <w:p>
      <w:pPr>
        <w:spacing w:before="0" w:after="180" w:line="264" w:lineRule="auto"/>
        <w:ind w:firstLine="340"/>
        <w:jc w:val="both"/>
      </w:pPr>
      <w:r>
        <w:rPr>
          <w:rFonts w:ascii="Cambria" w:hAnsi="Cambria"/>
          <w:b w:val="0"/>
          <w:i w:val="0"/>
          <w:color w:val="141A21"/>
          <w:sz w:val="22"/>
        </w:rPr>
        <w:t>15,1% de votre chiffre d'affaires si vous êtes commerçant ;</w:t>
      </w:r>
    </w:p>
    <w:p>
      <w:pPr>
        <w:spacing w:before="0" w:after="180" w:line="264" w:lineRule="auto"/>
        <w:ind w:firstLine="340"/>
        <w:jc w:val="both"/>
      </w:pPr>
      <w:r>
        <w:rPr>
          <w:rFonts w:ascii="Cambria" w:hAnsi="Cambria"/>
          <w:b w:val="0"/>
          <w:i w:val="0"/>
          <w:color w:val="141A21"/>
          <w:sz w:val="22"/>
        </w:rPr>
        <w:t>26,6% dans le cadre de la prestation de services ;</w:t>
      </w:r>
    </w:p>
    <w:p>
      <w:pPr>
        <w:spacing w:before="0" w:after="180" w:line="264" w:lineRule="auto"/>
        <w:ind w:firstLine="340"/>
        <w:jc w:val="both"/>
      </w:pPr>
      <w:r>
        <w:rPr>
          <w:rFonts w:ascii="Cambria" w:hAnsi="Cambria"/>
          <w:b w:val="0"/>
          <w:i w:val="0"/>
          <w:color w:val="141A21"/>
          <w:sz w:val="22"/>
        </w:rPr>
        <w:t>23,7% si vous êtes profession libérale.</w:t>
      </w:r>
    </w:p>
    <w:p>
      <w:pPr>
        <w:spacing w:before="0" w:after="180" w:line="264" w:lineRule="auto"/>
        <w:ind w:firstLine="340"/>
        <w:jc w:val="both"/>
      </w:pPr>
      <w:r>
        <w:rPr>
          <w:rFonts w:ascii="Cambria" w:hAnsi="Cambria"/>
          <w:b w:val="0"/>
          <w:i w:val="0"/>
          <w:color w:val="141A21"/>
          <w:sz w:val="22"/>
        </w:rPr>
        <w:t>Le micro-entrepreneur bénéficie du régime fiscal de la micro-entreprise ou du microsocial ; il doit donc tenir une comptabilité allégée mais n'a aucune obligation de bilan annuel à présenter. La seule exigence est l'enregistrement chronologique des recettes et des achats. Je conseille toujours à mes clients d’opter pour une comptabilité normale et l’ouverture d’un compte bancaire distinct de ses deniers personnels. Déjà pour avoir un outil de gestion et aussi pour constater lorsqu’il dépassera les seuils et qu’il devra « remonter » sa comptabilité à la date du début de l’exercice afin de présenter un bilan au régime réel.</w:t>
      </w:r>
    </w:p>
    <w:p>
      <w:pPr>
        <w:spacing w:before="0" w:after="180" w:line="264" w:lineRule="auto"/>
        <w:ind w:firstLine="340"/>
        <w:jc w:val="both"/>
      </w:pPr>
      <w:r>
        <w:rPr>
          <w:rFonts w:ascii="Cambria" w:hAnsi="Cambria"/>
          <w:b w:val="0"/>
          <w:i w:val="0"/>
          <w:color w:val="141A21"/>
          <w:sz w:val="22"/>
        </w:rPr>
        <w:t>Vous devez déclarer chaque mois ou chaque trimestre votre chiffre d'affaires, même si celui-ci est nul. Sachez que déclarer un CA nul pendant 24 mois consécutifs vous fera perdre le bénéfice du régime microsocial simplifié.</w:t>
      </w:r>
    </w:p>
    <w:p>
      <w:pPr>
        <w:spacing w:before="0" w:after="180" w:line="264" w:lineRule="auto"/>
        <w:ind w:firstLine="340"/>
        <w:jc w:val="both"/>
      </w:pPr>
      <w:r>
        <w:rPr>
          <w:rFonts w:ascii="Cambria" w:hAnsi="Cambria"/>
          <w:b w:val="0"/>
          <w:i w:val="0"/>
          <w:color w:val="141A21"/>
          <w:sz w:val="22"/>
        </w:rPr>
        <w:t>Ce statut a le mérite d’exister et comme indiquer ci-dessus il permet de se lancer à moindre frais mais dans il ne me plait pas car déjà il fonctionne par évaluation forfaitaire des charges et en plus c’est l’Administration qui est toujours gagnante car dès que vous réalisez des produits, du chiffre d‘affaires, elle vous prend des sous puisque en vous fixant des charges forfaitairement, vous dégagez toujours un résultat imposable.</w:t>
      </w:r>
    </w:p>
    <w:p>
      <w:pPr>
        <w:spacing w:before="0" w:after="180" w:line="264" w:lineRule="auto"/>
        <w:ind w:firstLine="340"/>
        <w:jc w:val="both"/>
      </w:pPr>
      <w:r>
        <w:rPr>
          <w:rFonts w:ascii="Cambria" w:hAnsi="Cambria"/>
          <w:b w:val="0"/>
          <w:i w:val="0"/>
          <w:color w:val="141A21"/>
          <w:sz w:val="22"/>
        </w:rPr>
        <w:t>Un statut déjà mieux adapté car il prend en compte une vraie comptabilité est l'Entreprise Individuelle à responsabilité Limitée (EIRL). Elle existe depuis 1er janvier 2011 et présente comme principale avantage d'affecter à l'activité professionnelle de l'entrepreneur un patrimoine séparé de son patrimoine personnel notamment en cas de faillite. Vos créanciers professionnels ne pourront poursuivre que le patrimoine affecté à l'exercice de votre activité professionnelle. Vous scindez en deux votre patrimoine et protégez donc votre patrimoine privé et votre famille d'éventuelles difficultés, sans avoir recours à la création d'une société. Cette séparation de patrimoine peut rendre frileux certains créanciers professionnels qui se méfieront de cette scission de patrimoine, pensant que vous ne présentez pas les meilleures garanties.</w:t>
      </w:r>
    </w:p>
    <w:p>
      <w:pPr>
        <w:spacing w:before="0" w:after="180" w:line="264" w:lineRule="auto"/>
        <w:ind w:firstLine="340"/>
        <w:jc w:val="both"/>
      </w:pPr>
      <w:r>
        <w:rPr>
          <w:rFonts w:ascii="Cambria" w:hAnsi="Cambria"/>
          <w:b w:val="0"/>
          <w:i w:val="0"/>
          <w:color w:val="141A21"/>
          <w:sz w:val="22"/>
        </w:rPr>
        <w:t>Le régime social est choisi :</w:t>
      </w:r>
    </w:p>
    <w:p>
      <w:pPr>
        <w:spacing w:before="0" w:after="180" w:line="264" w:lineRule="auto"/>
        <w:ind w:firstLine="340"/>
        <w:jc w:val="both"/>
      </w:pPr>
      <w:r>
        <w:rPr>
          <w:rFonts w:ascii="Cambria" w:hAnsi="Cambria"/>
          <w:b w:val="0"/>
          <w:i w:val="0"/>
          <w:color w:val="141A21"/>
          <w:sz w:val="22"/>
        </w:rPr>
        <w:t>Impôt sur le revenu, les cotisations sociales sont dues sur le bénéfice, selon le régime applicable aux entrepreneurs individuels.</w:t>
      </w:r>
    </w:p>
    <w:p>
      <w:pPr>
        <w:spacing w:before="0" w:after="180" w:line="264" w:lineRule="auto"/>
        <w:ind w:firstLine="340"/>
        <w:jc w:val="both"/>
      </w:pPr>
      <w:r>
        <w:rPr>
          <w:rFonts w:ascii="Cambria" w:hAnsi="Cambria"/>
          <w:b w:val="0"/>
          <w:i w:val="0"/>
          <w:color w:val="141A21"/>
          <w:sz w:val="22"/>
        </w:rPr>
        <w:t>Impôts sur les sociétés, les cotisations sociales sont dues sur votre rémunération et les bénéfices que vous vous distribuez sont soumis aux cotisations sociales pour leur part qui dépasse 10% de la valeur du patrimoine affecté ou 10% du bénéfice si ce dernier montant est supérieur</w:t>
      </w:r>
    </w:p>
    <w:p>
      <w:pPr>
        <w:spacing w:before="0" w:after="180" w:line="264" w:lineRule="auto"/>
        <w:ind w:firstLine="340"/>
        <w:jc w:val="both"/>
      </w:pPr>
      <w:r>
        <w:rPr>
          <w:rFonts w:ascii="Cambria" w:hAnsi="Cambria"/>
          <w:b w:val="0"/>
          <w:i w:val="0"/>
          <w:color w:val="141A21"/>
          <w:sz w:val="22"/>
        </w:rPr>
        <w:t>Le régime fiscal est en principe l'impôt sur le revenu mais vous pouvez opter pour le régime de l'impôt sur les sociétés, mais cette option est irrévocable, le bénéfice de votre EIRL sera taxé de 15% jusqu'à 38.120€ et de 28% au delà. Tant que les résultats ne sont pas distribués, il n'y a pas d'impôt sur le revenu à payer au niveau des associés, seule la société étant redevable de l'IS.</w:t>
      </w:r>
    </w:p>
    <w:p>
      <w:pPr>
        <w:spacing w:before="0" w:after="180" w:line="264" w:lineRule="auto"/>
        <w:ind w:firstLine="340"/>
        <w:jc w:val="both"/>
      </w:pPr>
      <w:r>
        <w:rPr>
          <w:rFonts w:ascii="Cambria" w:hAnsi="Cambria"/>
          <w:b w:val="0"/>
          <w:i w:val="0"/>
          <w:color w:val="141A21"/>
          <w:sz w:val="22"/>
        </w:rPr>
        <w:t>Vous devez tenir une comptabilité autonome. Vous devez ouvrir un compte bancaire dédié à l'activité de votre EIRL et déposer vos comptes annuels au lieu de dépôt de votre déclaration d'affectation dans un délai de 3 mois après la clôture de l'exercice, soit votre bilan et votre compte de résultat.</w:t>
      </w:r>
    </w:p>
    <w:p>
      <w:pPr>
        <w:spacing w:before="0" w:after="180" w:line="264" w:lineRule="auto"/>
        <w:ind w:firstLine="340"/>
        <w:jc w:val="both"/>
      </w:pPr>
      <w:r>
        <w:rPr>
          <w:rFonts w:ascii="Cambria" w:hAnsi="Cambria"/>
          <w:b w:val="0"/>
          <w:i w:val="0"/>
          <w:color w:val="141A21"/>
          <w:sz w:val="22"/>
        </w:rPr>
        <w:t>Pour créer votre EIRL vous effectuez une déclaration d'affectation auprès :</w:t>
      </w:r>
    </w:p>
    <w:p>
      <w:pPr>
        <w:spacing w:before="0" w:after="180" w:line="264" w:lineRule="auto"/>
        <w:ind w:firstLine="340"/>
        <w:jc w:val="both"/>
      </w:pPr>
      <w:r>
        <w:rPr>
          <w:rFonts w:ascii="Cambria" w:hAnsi="Cambria"/>
          <w:b w:val="0"/>
          <w:i w:val="0"/>
          <w:color w:val="141A21"/>
          <w:sz w:val="22"/>
        </w:rPr>
        <w:t>Du registre du commerce et des sociétés auquel vous êtes immatriculé, si vous exercez une activité commerciale ;</w:t>
      </w:r>
    </w:p>
    <w:p>
      <w:pPr>
        <w:spacing w:before="0" w:after="180" w:line="264" w:lineRule="auto"/>
        <w:ind w:firstLine="340"/>
        <w:jc w:val="both"/>
      </w:pPr>
      <w:r>
        <w:rPr>
          <w:rFonts w:ascii="Cambria" w:hAnsi="Cambria"/>
          <w:b w:val="0"/>
          <w:i w:val="0"/>
          <w:color w:val="141A21"/>
          <w:sz w:val="22"/>
        </w:rPr>
        <w:t>Du répertoire des métiers auquel vous êtes immatriculé, si vous exercez une activité artisanale ;</w:t>
      </w:r>
    </w:p>
    <w:p>
      <w:pPr>
        <w:spacing w:before="0" w:after="180" w:line="264" w:lineRule="auto"/>
        <w:ind w:firstLine="340"/>
        <w:jc w:val="both"/>
      </w:pPr>
      <w:r>
        <w:rPr>
          <w:rFonts w:ascii="Cambria" w:hAnsi="Cambria"/>
          <w:b w:val="0"/>
          <w:i w:val="0"/>
          <w:color w:val="141A21"/>
          <w:sz w:val="22"/>
        </w:rPr>
        <w:t>Du registre de votre choix si vous êtes immatriculé à la fois au RCS et RM ;</w:t>
      </w:r>
    </w:p>
    <w:p>
      <w:pPr>
        <w:spacing w:before="0" w:after="180" w:line="264" w:lineRule="auto"/>
        <w:ind w:firstLine="340"/>
        <w:jc w:val="both"/>
      </w:pPr>
      <w:r>
        <w:rPr>
          <w:rFonts w:ascii="Cambria" w:hAnsi="Cambria"/>
          <w:b w:val="0"/>
          <w:i w:val="0"/>
          <w:color w:val="141A21"/>
          <w:sz w:val="22"/>
        </w:rPr>
        <w:t>Du registre spécial des agents commerciaux auquel vous êtes immatriculé, si vous êtes agent commercial ;</w:t>
      </w:r>
    </w:p>
    <w:p>
      <w:pPr>
        <w:spacing w:before="0" w:after="180" w:line="264" w:lineRule="auto"/>
        <w:ind w:firstLine="340"/>
        <w:jc w:val="both"/>
      </w:pPr>
      <w:r>
        <w:rPr>
          <w:rFonts w:ascii="Cambria" w:hAnsi="Cambria"/>
          <w:b w:val="0"/>
          <w:i w:val="0"/>
          <w:color w:val="141A21"/>
          <w:sz w:val="22"/>
        </w:rPr>
        <w:t>Du registré spécial des EIRL, tenu au greffe du tribunal de commerce du lieu de votre principal établissement, si vous n'êtes pas tenu de vous immatriculer à un registre de publicité légale ;</w:t>
      </w:r>
    </w:p>
    <w:p>
      <w:pPr>
        <w:spacing w:before="0" w:after="180" w:line="264" w:lineRule="auto"/>
        <w:ind w:firstLine="340"/>
        <w:jc w:val="both"/>
      </w:pPr>
      <w:r>
        <w:rPr>
          <w:rFonts w:ascii="Cambria" w:hAnsi="Cambria"/>
          <w:b w:val="0"/>
          <w:i w:val="0"/>
          <w:color w:val="141A21"/>
          <w:sz w:val="22"/>
        </w:rPr>
        <w:t>Du registre de l'agriculture de la chambre d'agriculture compétente, si vous étés exploitant agricole.</w:t>
      </w:r>
    </w:p>
    <w:p>
      <w:pPr>
        <w:spacing w:before="0" w:after="180" w:line="264" w:lineRule="auto"/>
        <w:ind w:firstLine="340"/>
        <w:jc w:val="both"/>
      </w:pPr>
      <w:r>
        <w:rPr>
          <w:rFonts w:ascii="Cambria" w:hAnsi="Cambria"/>
          <w:b w:val="0"/>
          <w:i w:val="0"/>
          <w:color w:val="141A21"/>
          <w:sz w:val="22"/>
        </w:rPr>
        <w:t>Dans cette déclaration d'affectation, vous faites la liste du patrimoine que vous affectez à votre activité, en nature, qualité, quantité et valeur, et vous mentionnez également votre activité professionnelle.</w:t>
      </w:r>
    </w:p>
    <w:p>
      <w:pPr>
        <w:spacing w:before="0" w:after="180" w:line="264" w:lineRule="auto"/>
        <w:ind w:firstLine="340"/>
        <w:jc w:val="both"/>
      </w:pPr>
      <w:r>
        <w:rPr>
          <w:rFonts w:ascii="Cambria" w:hAnsi="Cambria"/>
          <w:b w:val="0"/>
          <w:i w:val="0"/>
          <w:color w:val="141A21"/>
          <w:sz w:val="22"/>
        </w:rPr>
        <w:t>Vous devez avoir recours à un notaire dans le cas d'affectation d'un bien immobilier : celui-ci effectuera la publicité foncière.</w:t>
      </w:r>
    </w:p>
    <w:p>
      <w:pPr>
        <w:spacing w:before="0" w:after="180" w:line="264" w:lineRule="auto"/>
        <w:ind w:firstLine="340"/>
        <w:jc w:val="both"/>
      </w:pPr>
      <w:r>
        <w:rPr>
          <w:rFonts w:ascii="Cambria" w:hAnsi="Cambria"/>
          <w:b w:val="0"/>
          <w:i w:val="0"/>
          <w:color w:val="141A21"/>
          <w:sz w:val="22"/>
        </w:rPr>
        <w:t>Si vous souhaitez affecter un bien d'une valeur supérieure à 30.000€ vous devez le faire évaluer par un expert-comptable, un commissaire aux comptes ou un notaire s'il s'agit d'un bien immobilier.</w:t>
      </w:r>
    </w:p>
    <w:p>
      <w:pPr>
        <w:spacing w:before="0" w:after="180" w:line="264" w:lineRule="auto"/>
        <w:ind w:firstLine="340"/>
        <w:jc w:val="both"/>
      </w:pPr>
      <w:r>
        <w:rPr>
          <w:rFonts w:ascii="Cambria" w:hAnsi="Cambria"/>
          <w:b w:val="0"/>
          <w:i w:val="0"/>
          <w:color w:val="141A21"/>
          <w:sz w:val="22"/>
        </w:rPr>
        <w:t>Si vous souhaitez affecter un bien commun ou indivis, vous devez obtenir l'accord de votre conjoint ou des codivisaires avant l'affectation.</w:t>
      </w:r>
    </w:p>
    <w:p>
      <w:pPr>
        <w:spacing w:before="0" w:after="180" w:line="264" w:lineRule="auto"/>
        <w:ind w:firstLine="340"/>
        <w:jc w:val="both"/>
      </w:pPr>
      <w:r>
        <w:rPr>
          <w:rFonts w:ascii="Cambria" w:hAnsi="Cambria"/>
          <w:b w:val="0"/>
          <w:i w:val="0"/>
          <w:color w:val="141A21"/>
          <w:sz w:val="22"/>
        </w:rPr>
        <w:t>Le patrimoine affecté peut évoluer au cours de l'exercice de votre activité professionnelle ; il y a dans ce cas obligation de déclaration à chaque modification.</w:t>
      </w:r>
    </w:p>
    <w:p>
      <w:pPr>
        <w:spacing w:before="0" w:after="180" w:line="264" w:lineRule="auto"/>
        <w:ind w:firstLine="340"/>
        <w:jc w:val="both"/>
      </w:pPr>
      <w:r>
        <w:rPr>
          <w:rFonts w:ascii="Cambria" w:hAnsi="Cambria"/>
          <w:b w:val="0"/>
          <w:i w:val="0"/>
          <w:color w:val="141A21"/>
          <w:sz w:val="22"/>
        </w:rPr>
        <w:t>Allez on revient aux sociétés. La plus répandue est l'Entreprise Unipersonnelle à Responsabilité Limitée (EURL). C’est une SARL qui n'a qu'un associé. Elle est donc soumise aux mêmes règles que la SARL. Le capital social peut être en argent ou en nature. Votre responsabilité est limitée à vos apports, sauf en cas de faute de gestion si vous êtes gérant ; dans ce cas la responsabilité peut s'étendre à vos biens personnels.</w:t>
      </w:r>
    </w:p>
    <w:p>
      <w:pPr>
        <w:spacing w:before="0" w:after="180" w:line="264" w:lineRule="auto"/>
        <w:ind w:firstLine="340"/>
        <w:jc w:val="both"/>
      </w:pPr>
      <w:r>
        <w:rPr>
          <w:rFonts w:ascii="Cambria" w:hAnsi="Cambria"/>
          <w:b w:val="0"/>
          <w:i w:val="0"/>
          <w:color w:val="141A21"/>
          <w:sz w:val="22"/>
        </w:rPr>
        <w:t>Vous avez la possibilité d'opter pour l'impôt sur les sociétés et ainsi de limiter l'assiette de calcul des cotisations sociales.</w:t>
      </w:r>
    </w:p>
    <w:p>
      <w:pPr>
        <w:spacing w:before="0" w:after="180" w:line="264" w:lineRule="auto"/>
        <w:ind w:firstLine="340"/>
        <w:jc w:val="both"/>
      </w:pPr>
      <w:r>
        <w:rPr>
          <w:rFonts w:ascii="Cambria" w:hAnsi="Cambria"/>
          <w:b w:val="0"/>
          <w:i w:val="0"/>
          <w:color w:val="141A21"/>
          <w:sz w:val="22"/>
        </w:rPr>
        <w:t>Vous pouvez céder et transmettre votre patrimoine.</w:t>
      </w:r>
    </w:p>
    <w:p>
      <w:pPr>
        <w:spacing w:before="0" w:after="180" w:line="264" w:lineRule="auto"/>
        <w:ind w:firstLine="340"/>
        <w:jc w:val="both"/>
      </w:pPr>
      <w:r>
        <w:rPr>
          <w:rFonts w:ascii="Cambria" w:hAnsi="Cambria"/>
          <w:b w:val="0"/>
          <w:i w:val="0"/>
          <w:color w:val="141A21"/>
          <w:sz w:val="22"/>
        </w:rPr>
        <w:t>Vous pouvez transformer votre EURL en SARL en intégrant des associés.</w:t>
      </w:r>
    </w:p>
    <w:p>
      <w:pPr>
        <w:spacing w:before="0" w:after="180" w:line="264" w:lineRule="auto"/>
        <w:ind w:firstLine="340"/>
        <w:jc w:val="both"/>
      </w:pPr>
      <w:r>
        <w:rPr>
          <w:rFonts w:ascii="Cambria" w:hAnsi="Cambria"/>
          <w:b w:val="0"/>
          <w:i w:val="0"/>
          <w:color w:val="141A21"/>
          <w:sz w:val="22"/>
        </w:rPr>
        <w:t>Les inconvénients par rapport à l’entreprise individuelle sont liés aux frais et aux formalismes de sa constitution et de son fonctionnement.</w:t>
      </w:r>
    </w:p>
    <w:p>
      <w:pPr>
        <w:spacing w:before="0" w:after="180" w:line="264" w:lineRule="auto"/>
        <w:ind w:firstLine="340"/>
        <w:jc w:val="both"/>
      </w:pPr>
      <w:r>
        <w:rPr>
          <w:rFonts w:ascii="Cambria" w:hAnsi="Cambria"/>
          <w:b w:val="0"/>
          <w:i w:val="0"/>
          <w:color w:val="141A21"/>
          <w:sz w:val="22"/>
        </w:rPr>
        <w:t>Dans le cas où vous exercez la fonction de gérant, vous relevez du régime des travailleurs non salariés et vous ne pouvez jamais être titulaire d'un contrat de travail.</w:t>
      </w:r>
    </w:p>
    <w:p>
      <w:pPr>
        <w:spacing w:before="0" w:after="180" w:line="264" w:lineRule="auto"/>
        <w:ind w:firstLine="340"/>
        <w:jc w:val="both"/>
      </w:pPr>
      <w:r>
        <w:rPr>
          <w:rFonts w:ascii="Cambria" w:hAnsi="Cambria"/>
          <w:b w:val="0"/>
          <w:i w:val="0"/>
          <w:color w:val="141A21"/>
          <w:sz w:val="22"/>
        </w:rPr>
        <w:t>Depuis le 1er janvier 2013 :</w:t>
      </w:r>
    </w:p>
    <w:p>
      <w:pPr>
        <w:spacing w:before="0" w:after="180" w:line="264" w:lineRule="auto"/>
        <w:ind w:firstLine="340"/>
        <w:jc w:val="both"/>
      </w:pPr>
      <w:r>
        <w:rPr>
          <w:rFonts w:ascii="Cambria" w:hAnsi="Cambria"/>
          <w:b w:val="0"/>
          <w:i w:val="0"/>
          <w:color w:val="141A21"/>
          <w:sz w:val="22"/>
        </w:rPr>
        <w:t>Si votre société est soumise à l'impôt sur les sociétés, la part des dividendes perçus par vous ou votre conjoint, votre partenaire pacsé ou vos enfants mineurs est assujettie à cotisations sociales pour la fraction supérieurs à 10% du capital social en proportion de la part que vous détenez, des primes d'émission et des sommes versées en compte courant.</w:t>
      </w:r>
    </w:p>
    <w:p>
      <w:pPr>
        <w:spacing w:before="0" w:after="180" w:line="264" w:lineRule="auto"/>
        <w:ind w:firstLine="340"/>
        <w:jc w:val="both"/>
      </w:pPr>
      <w:r>
        <w:rPr>
          <w:rFonts w:ascii="Cambria" w:hAnsi="Cambria"/>
          <w:b w:val="0"/>
          <w:i w:val="0"/>
          <w:color w:val="141A21"/>
          <w:sz w:val="22"/>
        </w:rPr>
        <w:t>En qualité de gérant majoritaire vous ne pouvez plus déduire forfaitairement de votre rémunération des frais professionnels (à hauteur de 10%) pour déterminer l'assiette de calcul de vos charges sociales. Cependant la déduction de vos frais réels reste possible.</w:t>
      </w:r>
    </w:p>
    <w:p>
      <w:pPr>
        <w:spacing w:before="0" w:after="180" w:line="264" w:lineRule="auto"/>
        <w:ind w:firstLine="340"/>
        <w:jc w:val="both"/>
      </w:pPr>
      <w:r>
        <w:rPr>
          <w:rFonts w:ascii="Cambria" w:hAnsi="Cambria"/>
          <w:b w:val="0"/>
          <w:i w:val="0"/>
          <w:color w:val="141A21"/>
          <w:sz w:val="22"/>
        </w:rPr>
        <w:t>Dans le cas où votre société est gérée par un tiers, s'il est rémunéré au titre de son mandat social, il relève alors du régime des "assimilés-salariés", c'est à dire qu'il bénéficie du régime de sécurité sociale et de retraite des salariés mais pas du régime d'assurance chômage. Il existe des couvertures via des assurances privées pour verser des « allocations » aux chefs d’entreprises lors d’une période de difficultés souvent liés à une liquidation judiciaire de leur entreprise. A la CPME nous avons mis en place ce genre de « produit » et nous le proposons régulièrement aux chefs d’entreprises. Le dirigeant peut cumuler ses fonctions de gérants avec un contrat de travail pour des fonctions techniques distinctes et réelles, à condition qu'il soit possible d'établir un lien de subordination entre lui et l'associé unique. Il est alors soumis à tous égards au statut des salariés. Si les fonctions de gérant sont exercés par votre conjoint, celui-ci est considérée comme un gérant majoritaire et relève alors du régime social des non-salariés.</w:t>
      </w:r>
    </w:p>
    <w:p>
      <w:pPr>
        <w:spacing w:before="0" w:after="180" w:line="264" w:lineRule="auto"/>
        <w:ind w:firstLine="340"/>
        <w:jc w:val="both"/>
      </w:pPr>
      <w:r>
        <w:rPr>
          <w:rFonts w:ascii="Cambria" w:hAnsi="Cambria"/>
          <w:b w:val="0"/>
          <w:i w:val="0"/>
          <w:color w:val="141A21"/>
          <w:sz w:val="22"/>
        </w:rPr>
        <w:t>Si l'associé unique est une personne physique, les bénéfices sociaux sont constatés au niveau de votre société, mais entrent dans la déclaration d'ensemble de vos revenus, dans la catégorie des bénéfices industriels et commerciaux (BIC) pour une activité commerciale ou artisanale, ou des bénéfices non commerciaux (BNC) pour une activité libérale.</w:t>
      </w:r>
    </w:p>
    <w:p>
      <w:pPr>
        <w:spacing w:before="0" w:after="180" w:line="264" w:lineRule="auto"/>
        <w:ind w:firstLine="340"/>
        <w:jc w:val="both"/>
      </w:pPr>
      <w:r>
        <w:rPr>
          <w:rFonts w:ascii="Cambria" w:hAnsi="Cambria"/>
          <w:b w:val="0"/>
          <w:i w:val="0"/>
          <w:color w:val="141A21"/>
          <w:sz w:val="22"/>
        </w:rPr>
        <w:t>Une option est possible pour l'impôt sur les sociétés. Elle peut être exercée dès la création et est irrévocable.</w:t>
      </w:r>
    </w:p>
    <w:p>
      <w:pPr>
        <w:spacing w:before="0" w:after="180" w:line="264" w:lineRule="auto"/>
        <w:ind w:firstLine="340"/>
        <w:jc w:val="both"/>
      </w:pPr>
      <w:r>
        <w:rPr>
          <w:rFonts w:ascii="Cambria" w:hAnsi="Cambria"/>
          <w:b w:val="0"/>
          <w:i w:val="0"/>
          <w:color w:val="141A21"/>
          <w:sz w:val="22"/>
        </w:rPr>
        <w:t>Si l'associe unique est une personne morale, l'EURL est soumise obligatoirement à l'IS.</w:t>
      </w:r>
    </w:p>
    <w:p>
      <w:pPr>
        <w:spacing w:before="0" w:after="180" w:line="264" w:lineRule="auto"/>
        <w:ind w:firstLine="340"/>
        <w:jc w:val="both"/>
      </w:pPr>
      <w:r>
        <w:rPr>
          <w:rFonts w:ascii="Cambria" w:hAnsi="Cambria"/>
          <w:b w:val="0"/>
          <w:i w:val="0"/>
          <w:color w:val="141A21"/>
          <w:sz w:val="22"/>
        </w:rPr>
        <w:t>Vous devez tenir une comptabilité et enregistre chronologiquement les mouvements affectant le patrimoine de l'entreprise. Vous devez au moins une fois tous les 12 mois contrôler, au moyen d'un inventaire, l'existence et la valeur des éléments actifs et passifs qui composent le patrimoine de l'entreprise. Il faut établir des comptes annuels à la clôture de l'exercice, au vu des enregistrements comptables et de l'inventaire. Enfin vous devez conserver les documents comptables et les pièces justificatives pendant 10 ans.</w:t>
      </w:r>
    </w:p>
    <w:p>
      <w:pPr>
        <w:spacing w:before="0" w:after="180" w:line="264" w:lineRule="auto"/>
        <w:ind w:firstLine="340"/>
        <w:jc w:val="both"/>
      </w:pPr>
      <w:r>
        <w:rPr>
          <w:rFonts w:ascii="Cambria" w:hAnsi="Cambria"/>
          <w:b w:val="0"/>
          <w:i w:val="0"/>
          <w:color w:val="141A21"/>
          <w:sz w:val="22"/>
        </w:rPr>
        <w:t>La rédaction des statuts est obligatoire, mais le fonctionnement de l'EURL est simplifié dans la mesure où le Centre de Formalités des Entreprises (CFE) ou le greffe du tribunal de commerce qui reçoit votre demande d'immatriculation vous remet gratuitement un modèle de statuts types qui s'applique d'office, sauf si vous déposez des statuts rédigés différemment.</w:t>
      </w:r>
    </w:p>
    <w:p>
      <w:pPr>
        <w:spacing w:before="0" w:after="180" w:line="264" w:lineRule="auto"/>
        <w:ind w:firstLine="340"/>
        <w:jc w:val="both"/>
      </w:pPr>
      <w:r>
        <w:rPr>
          <w:rFonts w:ascii="Cambria" w:hAnsi="Cambria"/>
          <w:b w:val="0"/>
          <w:i w:val="0"/>
          <w:color w:val="141A21"/>
          <w:sz w:val="22"/>
        </w:rPr>
        <w:t>En tant que gérant associe unique vous étés dispensé :</w:t>
      </w:r>
    </w:p>
    <w:p>
      <w:pPr>
        <w:spacing w:before="0" w:after="180" w:line="264" w:lineRule="auto"/>
        <w:ind w:firstLine="340"/>
        <w:jc w:val="both"/>
      </w:pPr>
      <w:r>
        <w:rPr>
          <w:rFonts w:ascii="Cambria" w:hAnsi="Cambria"/>
          <w:b w:val="0"/>
          <w:i w:val="0"/>
          <w:color w:val="141A21"/>
          <w:sz w:val="22"/>
        </w:rPr>
        <w:t>D'établir un rapport de gestion chaque année lorsque l'activité ne dépasse pas, à la clôture d'un exercice social, deux des trois seuils suivants : 1 million d'euros pour le total du bilan, 2 millions d'euros pour le chiffre d'affaires hors taxes, et 20 personnes pour le nombre moyen de salariés permanents ;</w:t>
      </w:r>
    </w:p>
    <w:p>
      <w:pPr>
        <w:spacing w:before="0" w:after="180" w:line="264" w:lineRule="auto"/>
        <w:ind w:firstLine="340"/>
        <w:jc w:val="both"/>
      </w:pPr>
      <w:r>
        <w:rPr>
          <w:rFonts w:ascii="Cambria" w:hAnsi="Cambria"/>
          <w:b w:val="0"/>
          <w:i w:val="0"/>
          <w:color w:val="141A21"/>
          <w:sz w:val="22"/>
        </w:rPr>
        <w:t>De déposer au greffe du tribunal de commerce le rapport de gestion dans le cas où vous seriez tenu de l'établir, mais il faut le tenir à disposition de toute personne qui le demanderait ;</w:t>
      </w:r>
    </w:p>
    <w:p>
      <w:pPr>
        <w:spacing w:before="0" w:after="180" w:line="264" w:lineRule="auto"/>
        <w:ind w:firstLine="340"/>
        <w:jc w:val="both"/>
      </w:pPr>
      <w:r>
        <w:rPr>
          <w:rFonts w:ascii="Cambria" w:hAnsi="Cambria"/>
          <w:b w:val="0"/>
          <w:i w:val="0"/>
          <w:color w:val="141A21"/>
          <w:sz w:val="22"/>
        </w:rPr>
        <w:t>De réunir une assemblée générale pour procéder à l'approbation des comptes ; cette formalité est accomplie par le dépôt des comptes annuels et de l'inventaire au greffe du tribunal de commerce ;</w:t>
      </w:r>
    </w:p>
    <w:p>
      <w:pPr>
        <w:spacing w:before="0" w:after="180" w:line="264" w:lineRule="auto"/>
        <w:ind w:firstLine="340"/>
        <w:jc w:val="both"/>
      </w:pPr>
      <w:r>
        <w:rPr>
          <w:rFonts w:ascii="Cambria" w:hAnsi="Cambria"/>
          <w:b w:val="0"/>
          <w:i w:val="0"/>
          <w:color w:val="141A21"/>
          <w:sz w:val="22"/>
        </w:rPr>
        <w:t>De mentionner sur le registre de la société, le récépissé délivré par le greffe lors du dépôt des comptes annuels.</w:t>
      </w:r>
    </w:p>
    <w:p>
      <w:pPr>
        <w:spacing w:before="0" w:after="180" w:line="264" w:lineRule="auto"/>
        <w:ind w:firstLine="340"/>
        <w:jc w:val="both"/>
      </w:pPr>
      <w:r>
        <w:rPr>
          <w:rFonts w:ascii="Cambria" w:hAnsi="Cambria"/>
          <w:b w:val="0"/>
          <w:i w:val="0"/>
          <w:color w:val="141A21"/>
          <w:sz w:val="22"/>
        </w:rPr>
        <w:t>Votre société doit avoir un ou plusieurs gérants devant être obligatoirement des personnes physiques.</w:t>
      </w:r>
    </w:p>
    <w:p>
      <w:pPr>
        <w:pStyle w:val="Heading3"/>
        <w:spacing w:before="400" w:after="100" w:line="276" w:lineRule="auto"/>
      </w:pPr>
      <w:r>
        <w:rPr>
          <w:rFonts w:ascii="Calibri" w:hAnsi="Calibri"/>
          <w:b/>
          <w:i w:val="0"/>
          <w:color w:val="141A21"/>
          <w:sz w:val="27"/>
        </w:rPr>
        <w:t>Commencer en équipe : le choix est vaste</w:t>
      </w:r>
    </w:p>
    <w:p>
      <w:pPr>
        <w:spacing w:before="0" w:after="180" w:line="264" w:lineRule="auto"/>
        <w:jc w:val="both"/>
      </w:pPr>
      <w:r>
        <w:rPr>
          <w:rFonts w:ascii="Cambria" w:hAnsi="Cambria"/>
          <w:b w:val="0"/>
          <w:i w:val="0"/>
          <w:color w:val="141A21"/>
          <w:sz w:val="22"/>
        </w:rPr>
        <w:t>Quel bonheur de s'associer dans un projet avec ses amis, sa famille ou toute personne motivée s'inscrivant dans votre envie d'entreprendre !</w:t>
      </w:r>
    </w:p>
    <w:p>
      <w:pPr>
        <w:spacing w:before="0" w:after="180" w:line="264" w:lineRule="auto"/>
        <w:ind w:firstLine="340"/>
        <w:jc w:val="both"/>
      </w:pPr>
      <w:r>
        <w:rPr>
          <w:rFonts w:ascii="Cambria" w:hAnsi="Cambria"/>
          <w:b w:val="0"/>
          <w:i w:val="0"/>
          <w:color w:val="141A21"/>
          <w:sz w:val="22"/>
        </w:rPr>
        <w:t>Mais soyez vigilant : l'euphorie de la création et de la naissance d'une entreprise peut vite s'estomper et aboutir parfois à des conflits inextricables. Il va falloir choisir judicieusement vos collaborateurs, être très scrupuleux quant au statut pour lequel vous aller opter et rédiger avec soins les statuts de votre nouvelle structure. Gardez à l'esprit, que la vie future de votre société sera conditionnée par ses statuts. Mais vous êtes créateurs donc vous avez l’avantage d’écrire vos « dix commandements » les règles que vous voulez voir respecter par l’ensemble des associés fondateurs et à venir. En effet certains de mes clients négligent ce passage pourtant primordial pour des histoires de sous : « c’est trop cher Monsieur LEMAIRE, sur Internet c’est gratuit ». Bien sûr et je ne peux que le constater (et parfois le déplorer car ca ne donne pas une belle image à nos juristes qui réfléchissent pour établir les statuts de leur client) mais sur internet ce sont des statuts type de sociétés que vous trouverez et non des statuts qui vous ressemble, qui vous accompagneront dans votre développement et fixeront les règles et les valeurs que vous vous voulez voir respecter dans « votre boite ». La bonne nouvelle c’est que nous pouvons modifier les statuts même après leur enregistrement. Le droit des sociétés nous le permet. Ce n’est pas simple et c’est couteux mais on peut le faire. Je me souviens d’un de mes clients qui était venu me voir pour créer sa première société. Nous réalisons les statuts et il commence son activité. Tares vite il vient me voir pour discuter d’un nouveau projet et je lui conseille de créer une nouvelle entité juridique pour réaliser cette nouvelle activité. Le service juridique lui établi un devis et je n’ai plus de nouvelle de lui pendant plusieurs semaines. Une collaboratrice m’informe pourtant que ce client nous a sollicité pour que nous puissions réaliser la comptabilité d’une nouvelle société. Je me dis que le projet est lancé mais qu’il a été rencontré un autre rédacteur d’actes. Cette situation se renouvelle une troisièmes fois. Lors de l’établissement de l’arrête de compte de sa première société, nous constatons avec ma collaboratrice principale, Sandrine, des flux de trésorerie entre les 3 sociétés. Rapidement je comprends qu’il « gère » ses sociétés comme s’il avait construit « le triangle magique ». Je le reçois et lui indique que certaines opérations comptables ne peuvent être retenues en charge puisque l’objet social de la société ne le permettait pas. Il semble étonné et me dit qu’il a fait ce que nous avions discuté il y a plusieurs mois et ne comprend pas ma position. Je lui confirme la non déductibilité fiscale de certaines opérations et lui indique que cela est dû la rédaction de ses statuts et je lui demande auprès de qui il s’est adressé pour les réaliser. En fait, auprès de personne car trouvant mes honoraires trop élevés il avait fait du « copier-coller » pour créer les 2 sociétés suivantes sans connaissance juridique précise. Plusieurs mois après, je constate sur mon agenda que mon client a pris rendez-vous. Je le reçois toujours avec envie de découvrir sur quel projet il est en réflexion. Je suis déçu car il m’indique juste « Monsieur LEMAIRE j’ai fais les statuts de mes dernières sociétés en reprenant bêtement les premiers statuts mais je ne pouvais pas m’offrir vôtre prestation. Cela m’a couté cher fiscalement par la non déductibilité de certaines charges. Aujourd’hui mes activités se développent et je peux payer, faites moi le triangle magique » me dit-il en sortant son chéquier. Nous avons « rattrapé » cela et aujourd’hui ce client est à la tête d’une armée de sociétés et est millionnaire. Cette histoire illustre le fait que nous pouvons retravailler la matière juridique pour l’adapter à vos demandes mais si cela n’est pas fait au départ nous pouvons rencontrer des problématiques de quorum et de représentativité lors des assemblées comme je vous l’explique plus tard. Retenez le fait qu’il faut mieux constituer dès le départ la ou les structures adéquates à votre vision long terme come j’aime a le dire sur 30 ans.</w:t>
      </w:r>
    </w:p>
    <w:p>
      <w:pPr>
        <w:spacing w:before="0" w:after="180" w:line="264" w:lineRule="auto"/>
        <w:ind w:firstLine="340"/>
        <w:jc w:val="both"/>
      </w:pPr>
      <w:r>
        <w:rPr>
          <w:rFonts w:ascii="Cambria" w:hAnsi="Cambria"/>
          <w:b w:val="0"/>
          <w:i w:val="0"/>
          <w:color w:val="141A21"/>
          <w:sz w:val="22"/>
        </w:rPr>
        <w:t>On reprend le catalogue des sociétés :</w:t>
      </w:r>
    </w:p>
    <w:p>
      <w:pPr>
        <w:pStyle w:val="Heading3"/>
        <w:spacing w:before="400" w:after="100" w:line="276" w:lineRule="auto"/>
      </w:pPr>
      <w:r>
        <w:rPr>
          <w:rFonts w:ascii="Calibri" w:hAnsi="Calibri"/>
          <w:b/>
          <w:i w:val="0"/>
          <w:color w:val="141A21"/>
          <w:sz w:val="27"/>
        </w:rPr>
        <w:t>La société en commandite simple et la société civile de portefeuille</w:t>
      </w:r>
    </w:p>
    <w:p>
      <w:pPr>
        <w:spacing w:before="0" w:after="180" w:line="264" w:lineRule="auto"/>
        <w:jc w:val="both"/>
      </w:pPr>
      <w:r>
        <w:rPr>
          <w:rFonts w:ascii="Cambria" w:hAnsi="Cambria"/>
          <w:b w:val="0"/>
          <w:i w:val="0"/>
          <w:color w:val="141A21"/>
          <w:sz w:val="22"/>
        </w:rPr>
        <w:t>La Société en Commandite Simple (SCS) : les associés commandités, détiennent le pouvoir et ont vocation à exercer la gérance de la SCS sauf si les statuts prévoient la nomination d’un gérant unique ou d’un nombre déterminé de gérant. Les associés commandités sont indéfiniment et solidairement responsables des dettes sociales, tandis que les commanditaires ne sont responsables des dettes sociales que dans la limite de leurs apports car ils sont de simples apporteurs de capitaux. Les statuts fixent librement les processus de prise de décisions, tant dans le mode de réunion des assemblées que pour les conditions de majorité applicables à chaque cas. Pour les décisions modifiant les statuts, il est nécessaire de recueillir l’unanimité des commandités et la majorité en nombre et en capital des commanditaires. Les statuts sont l’acte de naissance de la société.</w:t>
      </w:r>
    </w:p>
    <w:p>
      <w:pPr>
        <w:spacing w:before="0" w:after="180" w:line="264" w:lineRule="auto"/>
        <w:ind w:firstLine="340"/>
        <w:jc w:val="both"/>
      </w:pPr>
      <w:r>
        <w:rPr>
          <w:rFonts w:ascii="Cambria" w:hAnsi="Cambria"/>
          <w:b w:val="0"/>
          <w:i w:val="0"/>
          <w:color w:val="141A21"/>
          <w:sz w:val="22"/>
        </w:rPr>
        <w:t>Sur le plan fiscal et social, les associés commandités qui sont gérants ne sont pas salariés et leur rémunération est soumise à l’IRPP ainsi que leur quote-part des bénéfices en l’absence d’option pour l’assujettissement à l’IS. L’IS est toujours applicable sur la part des associés commanditaires.</w:t>
      </w:r>
    </w:p>
    <w:p>
      <w:pPr>
        <w:spacing w:before="0" w:after="180" w:line="264" w:lineRule="auto"/>
        <w:ind w:firstLine="340"/>
        <w:jc w:val="both"/>
      </w:pPr>
      <w:r>
        <w:rPr>
          <w:rFonts w:ascii="Cambria" w:hAnsi="Cambria"/>
          <w:b w:val="0"/>
          <w:i w:val="0"/>
          <w:color w:val="141A21"/>
          <w:sz w:val="22"/>
        </w:rPr>
        <w:t>Les cessions de parts ne peuvent en droit se faire qu’avec l’accord de tous les associés commandités et la majorité des commanditaires. Les statuts peuvent autoriser :</w:t>
      </w:r>
    </w:p>
    <w:p>
      <w:pPr>
        <w:spacing w:before="0" w:after="180" w:line="264" w:lineRule="auto"/>
        <w:ind w:firstLine="340"/>
        <w:jc w:val="both"/>
      </w:pPr>
      <w:r>
        <w:rPr>
          <w:rFonts w:ascii="Cambria" w:hAnsi="Cambria"/>
          <w:b w:val="0"/>
          <w:i w:val="0"/>
          <w:color w:val="141A21"/>
          <w:sz w:val="22"/>
        </w:rPr>
        <w:t>Que les parts des associés commanditaires soient librement cessibles entre les associés ;</w:t>
      </w:r>
    </w:p>
    <w:p>
      <w:pPr>
        <w:spacing w:before="0" w:after="180" w:line="264" w:lineRule="auto"/>
        <w:ind w:firstLine="340"/>
        <w:jc w:val="both"/>
      </w:pPr>
      <w:r>
        <w:rPr>
          <w:rFonts w:ascii="Cambria" w:hAnsi="Cambria"/>
          <w:b w:val="0"/>
          <w:i w:val="0"/>
          <w:color w:val="141A21"/>
          <w:sz w:val="22"/>
        </w:rPr>
        <w:t>Que les parts des associés commanditaires puissent être cédées à des tiers à la société avec le consentement de tous les commandités et la majorité en nombre et en capital de tous les commanditaires ;</w:t>
      </w:r>
    </w:p>
    <w:p>
      <w:pPr>
        <w:spacing w:before="0" w:after="180" w:line="264" w:lineRule="auto"/>
        <w:ind w:firstLine="340"/>
        <w:jc w:val="both"/>
      </w:pPr>
      <w:r>
        <w:rPr>
          <w:rFonts w:ascii="Cambria" w:hAnsi="Cambria"/>
          <w:b w:val="0"/>
          <w:i w:val="0"/>
          <w:color w:val="141A21"/>
          <w:sz w:val="22"/>
        </w:rPr>
        <w:t>Qu’un associé commandité puisse céder une partie de ses parts à un commanditaire ou à un tiers étranger à la société avec le consentement de tous les commandités et de la majorité en nombre et en capital de tous les commanditaires.</w:t>
      </w:r>
    </w:p>
    <w:p>
      <w:pPr>
        <w:spacing w:before="0" w:after="180" w:line="264" w:lineRule="auto"/>
        <w:ind w:firstLine="340"/>
        <w:jc w:val="both"/>
      </w:pPr>
      <w:r>
        <w:rPr>
          <w:rFonts w:ascii="Cambria" w:hAnsi="Cambria"/>
          <w:b w:val="0"/>
          <w:i w:val="0"/>
          <w:color w:val="141A21"/>
          <w:sz w:val="22"/>
        </w:rPr>
        <w:t>Outre ces dispositions, les statuts devront obligatoirement comporter les mentions suivantes :</w:t>
      </w:r>
    </w:p>
    <w:p>
      <w:pPr>
        <w:spacing w:before="0" w:after="180" w:line="264" w:lineRule="auto"/>
        <w:ind w:firstLine="340"/>
        <w:jc w:val="both"/>
      </w:pPr>
      <w:r>
        <w:rPr>
          <w:rFonts w:ascii="Cambria" w:hAnsi="Cambria"/>
          <w:b w:val="0"/>
          <w:i w:val="0"/>
          <w:color w:val="141A21"/>
          <w:sz w:val="22"/>
        </w:rPr>
        <w:t>Le montant ou la valeur des apports de tous les associés ;</w:t>
      </w:r>
    </w:p>
    <w:p>
      <w:pPr>
        <w:spacing w:before="0" w:after="180" w:line="264" w:lineRule="auto"/>
        <w:ind w:firstLine="340"/>
        <w:jc w:val="both"/>
      </w:pPr>
      <w:r>
        <w:rPr>
          <w:rFonts w:ascii="Cambria" w:hAnsi="Cambria"/>
          <w:b w:val="0"/>
          <w:i w:val="0"/>
          <w:color w:val="141A21"/>
          <w:sz w:val="22"/>
        </w:rPr>
        <w:t>La part du montant ou de la valeur de chaque associé ventilée entre commandités ou commanditaires ;</w:t>
      </w:r>
    </w:p>
    <w:p>
      <w:pPr>
        <w:spacing w:before="0" w:after="180" w:line="264" w:lineRule="auto"/>
        <w:ind w:firstLine="340"/>
        <w:jc w:val="both"/>
      </w:pPr>
      <w:r>
        <w:rPr>
          <w:rFonts w:ascii="Cambria" w:hAnsi="Cambria"/>
          <w:b w:val="0"/>
          <w:i w:val="0"/>
          <w:color w:val="141A21"/>
          <w:sz w:val="22"/>
        </w:rPr>
        <w:t>La part globale des associés commandités et la part de chaque associé commanditaire dans la répartition des bénéfices et dans le boni de liquidation lorsqu’elle est différente de la répartition des parts sociales.</w:t>
      </w:r>
    </w:p>
    <w:p>
      <w:pPr>
        <w:spacing w:before="0" w:after="180" w:line="264" w:lineRule="auto"/>
        <w:ind w:firstLine="340"/>
        <w:jc w:val="both"/>
      </w:pPr>
      <w:r>
        <w:rPr>
          <w:rFonts w:ascii="Cambria" w:hAnsi="Cambria"/>
          <w:b w:val="0"/>
          <w:i w:val="0"/>
          <w:color w:val="141A21"/>
          <w:sz w:val="22"/>
        </w:rPr>
        <w:t>La SCS implique pour l’associé commandité un statut commerçant ce qui ouvre la porte en complément de l’activité principale de gestion patrimoniale pure, la location et/ou sous-location meublée, activité de conseil, courtage, agence et bureau d’affaires.</w:t>
      </w:r>
    </w:p>
    <w:p>
      <w:pPr>
        <w:spacing w:before="0" w:after="180" w:line="264" w:lineRule="auto"/>
        <w:ind w:firstLine="340"/>
        <w:jc w:val="both"/>
      </w:pPr>
      <w:r>
        <w:rPr>
          <w:rFonts w:ascii="Cambria" w:hAnsi="Cambria"/>
          <w:b w:val="0"/>
          <w:i w:val="0"/>
          <w:color w:val="141A21"/>
          <w:sz w:val="22"/>
        </w:rPr>
        <w:t>La SCS est particulièrement adaptée pour y faire rentrer des enfants mineurs. Ces derniers en qualité d’associés-commanditaires voient leur responsabilité limitée à leur apport. Cette situation permettra à la SCS d’emprunter facilement, les banques refusant le plus souvent de prêter de l’argent à une société civile, si elle a des associés mineurs.</w:t>
      </w:r>
    </w:p>
    <w:p>
      <w:pPr>
        <w:spacing w:before="0" w:after="180" w:line="264" w:lineRule="auto"/>
        <w:ind w:firstLine="340"/>
        <w:jc w:val="both"/>
      </w:pPr>
      <w:r>
        <w:rPr>
          <w:rFonts w:ascii="Cambria" w:hAnsi="Cambria"/>
          <w:b w:val="0"/>
          <w:i w:val="0"/>
          <w:color w:val="141A21"/>
          <w:sz w:val="22"/>
        </w:rPr>
        <w:t>Rien n’empêché de créer une SCS dont l’associé commandité serait une SARL ou une EURL, ce qui évacué les contraintes d’avoir un associé commandité, personne physique avec un statut de commerçante.</w:t>
      </w:r>
    </w:p>
    <w:p>
      <w:pPr>
        <w:spacing w:before="0" w:after="180" w:line="264" w:lineRule="auto"/>
        <w:ind w:firstLine="340"/>
        <w:jc w:val="both"/>
      </w:pPr>
      <w:r>
        <w:rPr>
          <w:rFonts w:ascii="Cambria" w:hAnsi="Cambria"/>
          <w:b w:val="0"/>
          <w:i w:val="0"/>
          <w:color w:val="141A21"/>
          <w:sz w:val="22"/>
        </w:rPr>
        <w:t>La SCS implique pour l’associé commandité un statut commerçant ce qui ouvre la porte en complément de l’activité principale de gestion patrimoniale pure, la location et/ou sous-location meublée, activité de conseil, courtage, agence et bureau d’affaires.</w:t>
      </w:r>
    </w:p>
    <w:p>
      <w:pPr>
        <w:spacing w:before="0" w:after="180" w:line="264" w:lineRule="auto"/>
        <w:ind w:firstLine="340"/>
        <w:jc w:val="both"/>
      </w:pPr>
      <w:r>
        <w:rPr>
          <w:rFonts w:ascii="Cambria" w:hAnsi="Cambria"/>
          <w:b w:val="0"/>
          <w:i w:val="0"/>
          <w:color w:val="141A21"/>
          <w:sz w:val="22"/>
        </w:rPr>
        <w:t>La SCS est particulièrement adaptée pour y faire rentrer des enfants mineurs. Ces derniers en qualité d’associés-commanditaires voient leur responsabilité limitée à leur apport. Cette situation permettra à la SCS d’emprunter facilement, les banques refusant le plus souvent de prêter de l’argent à une société civile, si elle a des associés mineurs.</w:t>
      </w:r>
    </w:p>
    <w:p>
      <w:pPr>
        <w:spacing w:before="0" w:after="180" w:line="264" w:lineRule="auto"/>
        <w:ind w:firstLine="340"/>
        <w:jc w:val="both"/>
      </w:pPr>
      <w:r>
        <w:rPr>
          <w:rFonts w:ascii="Cambria" w:hAnsi="Cambria"/>
          <w:b w:val="0"/>
          <w:i w:val="0"/>
          <w:color w:val="141A21"/>
          <w:sz w:val="22"/>
        </w:rPr>
        <w:t>Rien n’empêché de créer une SCS dont l’associé commandité serait une SARL ou une EURL, ce qui évacue les contraintes d’avoir un associé commandité, personne physique avec un statut de commerçante.</w:t>
      </w:r>
    </w:p>
    <w:p>
      <w:pPr>
        <w:spacing w:before="0" w:after="180" w:line="264" w:lineRule="auto"/>
        <w:ind w:firstLine="340"/>
        <w:jc w:val="both"/>
      </w:pPr>
      <w:r>
        <w:rPr>
          <w:rFonts w:ascii="Cambria" w:hAnsi="Cambria"/>
          <w:b w:val="0"/>
          <w:i w:val="0"/>
          <w:color w:val="141A21"/>
          <w:sz w:val="22"/>
        </w:rPr>
        <w:t>Les SCS ne sont pas astreintes a déposer leurs comptes annuels au greffé du tribunal de commerce, contrairement aux SARL, SA, DSAS et SCA.</w:t>
      </w:r>
    </w:p>
    <w:p>
      <w:pPr>
        <w:spacing w:before="0" w:after="180" w:line="264" w:lineRule="auto"/>
        <w:ind w:firstLine="340"/>
        <w:jc w:val="both"/>
      </w:pPr>
      <w:r>
        <w:rPr>
          <w:rFonts w:ascii="Cambria" w:hAnsi="Cambria"/>
          <w:b w:val="0"/>
          <w:i w:val="0"/>
          <w:color w:val="141A21"/>
          <w:sz w:val="22"/>
        </w:rPr>
        <w:t>La Société Civile de Portefeuille (SCP) : c’est avant tout sa souplesse et sa facilité de gestion, données communes à l’ensemble des sociétés civiles, qui font de la SCP une forme de société à utiliser éventuellement pour constituer une holding dit de patrimoine. Les formalités de création suivent une procédure précise mais allégée par rapport aux sociétés de capitaux.</w:t>
      </w:r>
    </w:p>
    <w:p>
      <w:pPr>
        <w:spacing w:before="0" w:after="180" w:line="264" w:lineRule="auto"/>
        <w:ind w:firstLine="340"/>
        <w:jc w:val="both"/>
      </w:pPr>
      <w:r>
        <w:rPr>
          <w:rFonts w:ascii="Cambria" w:hAnsi="Cambria"/>
          <w:b w:val="0"/>
          <w:i w:val="0"/>
          <w:color w:val="141A21"/>
          <w:sz w:val="22"/>
        </w:rPr>
        <w:t>L’objet social qui constitue l’objectif et la raison d’être de la société, doit être particulièrement soigné. Il convient de ne pas définir un objet trop large « la détention et la gestion de tout type de valeurs mobilières » ni trop étroit « l’acquisition et la gestion des parts ou actions de la société XX ».</w:t>
      </w:r>
    </w:p>
    <w:p>
      <w:pPr>
        <w:spacing w:before="0" w:after="180" w:line="264" w:lineRule="auto"/>
        <w:ind w:firstLine="340"/>
        <w:jc w:val="both"/>
      </w:pPr>
      <w:r>
        <w:rPr>
          <w:rFonts w:ascii="Cambria" w:hAnsi="Cambria"/>
          <w:b w:val="0"/>
          <w:i w:val="0"/>
          <w:color w:val="141A21"/>
          <w:sz w:val="22"/>
        </w:rPr>
        <w:t>Les associés peuvent définir dans les statuts le mode de gestion du portefeuille par le gérant ou par un mandataire externe. L’objet de cet ouvrage n’étant pas la spéculation mais la transmission, le gérant sera le plus souvent gestionnaire du portefeuille. Pour les sociétés crées entre une personne et certains de ses héritiers et afin d’éviter tout problème avec les héritiers non associés et qui pourraient notamment invoquer une donation déguisée de la société, il est conseillé de confier la rédaction des statuts à un notaire afin de conférer au contrat de société une forme authentique.</w:t>
      </w:r>
    </w:p>
    <w:p>
      <w:pPr>
        <w:spacing w:before="0" w:after="180" w:line="264" w:lineRule="auto"/>
        <w:ind w:firstLine="340"/>
        <w:jc w:val="both"/>
      </w:pPr>
      <w:r>
        <w:rPr>
          <w:rFonts w:ascii="Cambria" w:hAnsi="Cambria"/>
          <w:b w:val="0"/>
          <w:i w:val="0"/>
          <w:color w:val="141A21"/>
          <w:sz w:val="22"/>
        </w:rPr>
        <w:t>La SCP doit fonctionner de manière effective, notamment en ce qui concerne la tenue de ses assemblées annuelles, la tenue de la comptabilité, l’utilisation d’un compte bancaire, etc.</w:t>
      </w:r>
    </w:p>
    <w:p>
      <w:pPr>
        <w:spacing w:before="0" w:after="180" w:line="264" w:lineRule="auto"/>
        <w:ind w:firstLine="340"/>
        <w:jc w:val="both"/>
      </w:pPr>
      <w:r>
        <w:rPr>
          <w:rFonts w:ascii="Cambria" w:hAnsi="Cambria"/>
          <w:b w:val="0"/>
          <w:i w:val="0"/>
          <w:color w:val="141A21"/>
          <w:sz w:val="22"/>
        </w:rPr>
        <w:t>C’est lors de la rédaction des statuts qu’il convient d’insérer l’option pour l’assujettissement à l’impôt sur les sociétés.</w:t>
      </w:r>
    </w:p>
    <w:p>
      <w:pPr>
        <w:spacing w:before="0" w:after="180" w:line="264" w:lineRule="auto"/>
        <w:ind w:firstLine="340"/>
        <w:jc w:val="both"/>
      </w:pPr>
      <w:r>
        <w:rPr>
          <w:rFonts w:ascii="Cambria" w:hAnsi="Cambria"/>
          <w:b w:val="0"/>
          <w:i w:val="0"/>
          <w:color w:val="141A21"/>
          <w:sz w:val="22"/>
        </w:rPr>
        <w:t>La SCP doit se limiter strictement à la gestion patrimoniale des ses actifs, ce qui exclut toutes activités accessoires a caractère commercial</w:t>
      </w:r>
    </w:p>
    <w:p>
      <w:pPr>
        <w:spacing w:before="0" w:after="180" w:line="264" w:lineRule="auto"/>
        <w:ind w:firstLine="340"/>
        <w:jc w:val="both"/>
      </w:pPr>
      <w:r>
        <w:rPr>
          <w:rFonts w:ascii="Cambria" w:hAnsi="Cambria"/>
          <w:b w:val="0"/>
          <w:i w:val="0"/>
          <w:color w:val="141A21"/>
          <w:sz w:val="22"/>
        </w:rPr>
        <w:t>Les SCP ne sont pas astreintes a déposer leurs comptes annuels au greffé du tribunal de commerce, contrairement aux SARL, SA, DSAS et SCA.</w:t>
      </w:r>
    </w:p>
    <w:p>
      <w:pPr>
        <w:pStyle w:val="Heading3"/>
        <w:spacing w:before="400" w:after="100" w:line="276" w:lineRule="auto"/>
      </w:pPr>
      <w:r>
        <w:rPr>
          <w:rFonts w:ascii="Calibri" w:hAnsi="Calibri"/>
          <w:b/>
          <w:i w:val="0"/>
          <w:color w:val="141A21"/>
          <w:sz w:val="27"/>
        </w:rPr>
        <w:t>Les sociétés commerciales : SARL, SAS et SA</w:t>
      </w:r>
    </w:p>
    <w:p>
      <w:pPr>
        <w:spacing w:before="0" w:after="180" w:line="264" w:lineRule="auto"/>
        <w:jc w:val="both"/>
      </w:pPr>
      <w:r>
        <w:rPr>
          <w:rFonts w:ascii="Cambria" w:hAnsi="Cambria"/>
          <w:b w:val="0"/>
          <w:i w:val="0"/>
          <w:color w:val="141A21"/>
          <w:sz w:val="22"/>
        </w:rPr>
        <w:t>La Société à Responsabilité Limité (SARL) : la SARL est la forme de société la plus répandue en France ; en 2012 77% des sociétés existantes étaient des SARL. Elle a pour avantage une structure simple mais qui n'empêche pas une gestion rigoureuse. Les associés doivent être au nombre de deux pour créer une SARL, sans être plus de 100. Le montant du capital social est fixer en fonction de la taille, de l'activité et des besoins en capitaux de votre société, il peut être de 1€. Vous pouvez réaliser des apports en numéraire ou en nature. En tant qu'associé vous êtes responsable des dettes de la société à hauteur du capital souscrit. Pensez à réaliser une parfaite rédaction des statuts de votre société, car son fonctionnement est soumis à un formalisme légal et à des règles que vous devez établir.</w:t>
      </w:r>
    </w:p>
    <w:p>
      <w:pPr>
        <w:spacing w:before="0" w:after="180" w:line="264" w:lineRule="auto"/>
        <w:ind w:firstLine="340"/>
        <w:jc w:val="both"/>
      </w:pPr>
      <w:r>
        <w:rPr>
          <w:rFonts w:ascii="Cambria" w:hAnsi="Cambria"/>
          <w:b w:val="0"/>
          <w:i w:val="0"/>
          <w:color w:val="141A21"/>
          <w:sz w:val="22"/>
        </w:rPr>
        <w:t>Comme toutes les sociétés, le fonctionnement de la SARL est défini par les statuts et soumis à un formalisme qui peut parfois sembler lourd, mais qui est primordial quant à la bonne marche de l'entreprise. Un ou plusieurs gérants personnes physiques obligatoirement, dirigent la société, ils sont nommés parmi les associés ou en dehors d'eux. Sauf limitations fixées dans les statuts, le ou les gérants ont tous pouvoirs pour agir au nom et pour le compte de la société. Leurs nominations et leurs pouvoirs sont fixés dans les statuts soit dans un acte séparé. Il est donc primordial, nous ne le dirons jamais assez, de bien rédiger les statuts de votre société et d'être vigilants quant aux personnes désignées en qualité de gérants.</w:t>
      </w:r>
    </w:p>
    <w:p>
      <w:pPr>
        <w:spacing w:before="0" w:after="180" w:line="264" w:lineRule="auto"/>
        <w:ind w:firstLine="340"/>
        <w:jc w:val="both"/>
      </w:pPr>
      <w:r>
        <w:rPr>
          <w:rFonts w:ascii="Cambria" w:hAnsi="Cambria"/>
          <w:b w:val="0"/>
          <w:i w:val="0"/>
          <w:color w:val="141A21"/>
          <w:sz w:val="22"/>
        </w:rPr>
        <w:t>Les associés se réunissent au minimum une fois par an en assemblée générale ordinaire (AGO) les décisions entrainant une modification des statuts se prennent en assemblée générale extraordinaire (AGE). Pour que l'assemblée puisse valablement se tenir, les associés présents ou représentés doivent posséder au moins le quart des parts sociales lors de la première convocation de l'AGE (quorum). A défaut, la seconde AGE doit se tenir dans un délai maximum de 2 mois et les associes présents ou représentés doivent posséder au moins le cinquième des parts sociales.</w:t>
      </w:r>
    </w:p>
    <w:p>
      <w:pPr>
        <w:spacing w:before="0" w:after="180" w:line="264" w:lineRule="auto"/>
        <w:ind w:firstLine="340"/>
        <w:jc w:val="both"/>
      </w:pPr>
      <w:r>
        <w:rPr>
          <w:rFonts w:ascii="Cambria" w:hAnsi="Cambria"/>
          <w:b w:val="0"/>
          <w:i w:val="0"/>
          <w:color w:val="141A21"/>
          <w:sz w:val="22"/>
        </w:rPr>
        <w:t>Un gérant est majoritaire s'il détient, avec son conjoint (quel que soit le régime matrimonial), son partenaire lié par un Pacs et ses enfants mineurs plus de 50% du capital social de la société. En cas de pluralité de gérants, chaque gérant est considéré comme majoritaire dès lors que les cogérants détiennent ensemble plus de la moitié des parts de la société. Il est affilié au régime des travailleurs non salariés (TNS)</w:t>
      </w:r>
    </w:p>
    <w:p>
      <w:pPr>
        <w:spacing w:before="0" w:after="180" w:line="264" w:lineRule="auto"/>
        <w:ind w:firstLine="340"/>
        <w:jc w:val="both"/>
      </w:pPr>
      <w:r>
        <w:rPr>
          <w:rFonts w:ascii="Cambria" w:hAnsi="Cambria"/>
          <w:b w:val="0"/>
          <w:i w:val="0"/>
          <w:color w:val="141A21"/>
          <w:sz w:val="22"/>
        </w:rPr>
        <w:t>Depuis le 1er janvier 2013 :</w:t>
      </w:r>
    </w:p>
    <w:p>
      <w:pPr>
        <w:spacing w:before="0" w:after="180" w:line="264" w:lineRule="auto"/>
        <w:ind w:firstLine="340"/>
        <w:jc w:val="both"/>
      </w:pPr>
      <w:r>
        <w:rPr>
          <w:rFonts w:ascii="Cambria" w:hAnsi="Cambria"/>
          <w:b w:val="0"/>
          <w:i w:val="0"/>
          <w:color w:val="141A21"/>
          <w:sz w:val="22"/>
        </w:rPr>
        <w:t>Si votre société est soumise à l'impôt sur les sociétés, la part des dividendes perçus par vous ou votre conjoint, votre partenaire pacsé ou vos enfants mineurs est assujettie à cotisations sociales pour la fraction supérieurs à 10% du capital social en proportion de la part que vous détenez, des primes d'émission et des sommes versées en compte courant.</w:t>
      </w:r>
    </w:p>
    <w:p>
      <w:pPr>
        <w:spacing w:before="0" w:after="180" w:line="264" w:lineRule="auto"/>
        <w:ind w:firstLine="340"/>
        <w:jc w:val="both"/>
      </w:pPr>
      <w:r>
        <w:rPr>
          <w:rFonts w:ascii="Cambria" w:hAnsi="Cambria"/>
          <w:b w:val="0"/>
          <w:i w:val="0"/>
          <w:color w:val="141A21"/>
          <w:sz w:val="22"/>
        </w:rPr>
        <w:t>En qualité de gérant majoritaire vous ne pouvez plus déduire forfaitairement de votre rémunération des frais professionnels (à hauteur de 10%) pour déterminer l'assiette de calcul de vos charges sociales. Cependant la déduction de vos frais réels reste possible.</w:t>
      </w:r>
    </w:p>
    <w:p>
      <w:pPr>
        <w:spacing w:before="0" w:after="180" w:line="264" w:lineRule="auto"/>
        <w:ind w:firstLine="340"/>
        <w:jc w:val="both"/>
      </w:pPr>
      <w:r>
        <w:rPr>
          <w:rFonts w:ascii="Cambria" w:hAnsi="Cambria"/>
          <w:b w:val="0"/>
          <w:i w:val="0"/>
          <w:color w:val="141A21"/>
          <w:sz w:val="22"/>
        </w:rPr>
        <w:t>Le gérant minoritaire ou égalitaire relève du régime social des "assimilés-salariés" au regard de sa protection sociale. Il bénéficie donc du régime de sécurité sociale et de retraite des salariés mais pas de l'assurance chômage ni des dispositions du droit du travail. Il n’est donc pas soumis au salaire minimum et à la durée de travail. Le gérant minoritaire peut éventuellement cumuler les fonctions de gérant avec un contrat de travail relatif à des fonctions techniques distinctes, s'il est possible d'établir un lien de subordination entre lui et la société. Je conseille dans ces cas de figure d’établir un dossier auprès du Pole Emploi afin de bien faire valider cette position sociale. De ce fait vous saurez si le lien de subordination est reconnu et donc vous pourrez prélever les cotisations sociales afférentes à cette situation sur le bulletin de paye du gérant sinon vous ne cotiserez pas au Pôle Emploi car ce n’est pas parce que vous cotisez que vous aurez le droit à des allocations chômage en cas de liquidation judicaire. Le gérant égalitaire ne peut pas quant à lui bénéficier d'un contrat de travail.</w:t>
      </w:r>
    </w:p>
    <w:p>
      <w:pPr>
        <w:spacing w:before="0" w:after="180" w:line="264" w:lineRule="auto"/>
        <w:ind w:firstLine="340"/>
        <w:jc w:val="both"/>
      </w:pPr>
      <w:r>
        <w:rPr>
          <w:rFonts w:ascii="Cambria" w:hAnsi="Cambria"/>
          <w:b w:val="0"/>
          <w:i w:val="0"/>
          <w:color w:val="141A21"/>
          <w:sz w:val="22"/>
        </w:rPr>
        <w:t>La SARL est soumise à l'impôt sur les sociétés, mais il est possible d'opter pour l'impôt sur le revenu dans deux cas :</w:t>
      </w:r>
    </w:p>
    <w:p>
      <w:pPr>
        <w:spacing w:before="0" w:after="180" w:line="264" w:lineRule="auto"/>
        <w:ind w:firstLine="340"/>
        <w:jc w:val="both"/>
      </w:pPr>
      <w:r>
        <w:rPr>
          <w:rFonts w:ascii="Cambria" w:hAnsi="Cambria"/>
          <w:b w:val="0"/>
          <w:i w:val="0"/>
          <w:color w:val="141A21"/>
          <w:sz w:val="22"/>
        </w:rPr>
        <w:t>Les SARL formées uniquement entre personnes parentes en ligne directe, frères et sœurs, conjoints ou partenaires pacsés dites « SARL de famille » ;</w:t>
      </w:r>
    </w:p>
    <w:p>
      <w:pPr>
        <w:spacing w:before="0" w:after="180" w:line="264" w:lineRule="auto"/>
        <w:ind w:firstLine="340"/>
        <w:jc w:val="both"/>
      </w:pPr>
      <w:r>
        <w:rPr>
          <w:rFonts w:ascii="Cambria" w:hAnsi="Cambria"/>
          <w:b w:val="0"/>
          <w:i w:val="0"/>
          <w:color w:val="141A21"/>
          <w:sz w:val="22"/>
        </w:rPr>
        <w:t>Les sociétés de moins de 5 ans non cotées qui emploient moins de 50 salariés et réalisent un chiffre d'affaires annuel ou un total de bilan inferieur à 10 millions d'euros, et dont les droits de vote sont détenus à hauteur de 34% au moins par le (ou les) dirigeants de l'entreprise et les membres de son foyer fiscal. Cette option nécessite l'accord de tous les associés et il est valable pour 5 exercices.</w:t>
      </w:r>
    </w:p>
    <w:p>
      <w:pPr>
        <w:spacing w:before="0" w:after="180" w:line="264" w:lineRule="auto"/>
        <w:ind w:firstLine="340"/>
        <w:jc w:val="both"/>
      </w:pPr>
      <w:r>
        <w:rPr>
          <w:rFonts w:ascii="Cambria" w:hAnsi="Cambria"/>
          <w:b w:val="0"/>
          <w:i w:val="0"/>
          <w:color w:val="141A21"/>
          <w:sz w:val="22"/>
        </w:rPr>
        <w:t>Qu'ils soient minoritaires, égalitaires ou majoritaires, les rémunérations des gérants sont imposées dans la catégorie de traitements et salaires à l'impôt sur le revenu.</w:t>
      </w:r>
    </w:p>
    <w:p>
      <w:pPr>
        <w:spacing w:before="0" w:after="180" w:line="264" w:lineRule="auto"/>
        <w:ind w:firstLine="340"/>
        <w:jc w:val="both"/>
      </w:pPr>
      <w:r>
        <w:rPr>
          <w:rFonts w:ascii="Cambria" w:hAnsi="Cambria"/>
          <w:b w:val="0"/>
          <w:i w:val="0"/>
          <w:color w:val="141A21"/>
          <w:sz w:val="22"/>
        </w:rPr>
        <w:t>Vous avez l'obligation de faire appel à un expert-comptable pour valider les comptes de la société à chaque clôture de bilan.</w:t>
      </w:r>
    </w:p>
    <w:p>
      <w:pPr>
        <w:spacing w:before="0" w:after="180" w:line="264" w:lineRule="auto"/>
        <w:ind w:firstLine="340"/>
        <w:jc w:val="both"/>
      </w:pPr>
      <w:r>
        <w:rPr>
          <w:rFonts w:ascii="Cambria" w:hAnsi="Cambria"/>
          <w:b w:val="0"/>
          <w:i w:val="0"/>
          <w:color w:val="141A21"/>
          <w:sz w:val="22"/>
        </w:rPr>
        <w:t>En théorie les cessions de parts entre associés ou à des membres de votre famille sont libres sauf si les statuts prévoient des règles de majorité particulières. Les cessions à des tiers doivent de toute façon être approuvées en assemblée générale.</w:t>
      </w:r>
    </w:p>
    <w:p>
      <w:pPr>
        <w:spacing w:before="0" w:after="180" w:line="264" w:lineRule="auto"/>
        <w:ind w:firstLine="340"/>
        <w:jc w:val="both"/>
      </w:pPr>
      <w:r>
        <w:rPr>
          <w:rFonts w:ascii="Cambria" w:hAnsi="Cambria"/>
          <w:b w:val="0"/>
          <w:i w:val="0"/>
          <w:color w:val="141A21"/>
          <w:sz w:val="22"/>
        </w:rPr>
        <w:t>Ce n’est pas ma préférée mais elle permet d’utiliser l’impôt sur le revenu et cela peut être intéressant comme dans l’immobilier avec le régime du LMNP vu précédemment. En plus elle « oblige » au regimbe social des TNS (travailleurs non salariés) qui est moins couteux que le régime général mais beaucoup moins intéressant.</w:t>
      </w:r>
    </w:p>
    <w:p>
      <w:pPr>
        <w:spacing w:before="0" w:after="180" w:line="264" w:lineRule="auto"/>
        <w:ind w:firstLine="340"/>
        <w:jc w:val="both"/>
      </w:pPr>
      <w:r>
        <w:rPr>
          <w:rFonts w:ascii="Cambria" w:hAnsi="Cambria"/>
          <w:b w:val="0"/>
          <w:i w:val="0"/>
          <w:color w:val="141A21"/>
          <w:sz w:val="22"/>
        </w:rPr>
        <w:t>La Société par Actions Simplifiée (SAS) se caractérise par une grande souplesse de fonctionnement et la possibilité pour les associés d'aménager dans les statuts les conditions de leur entrée et de leur sortie de la société. Un ou plusieurs associés, personnes physique ou morales, peuvent constituer une SAS. Le capital est librement fixé, les apports peuvent s'effectuer en numéraire ou en nature.</w:t>
      </w:r>
    </w:p>
    <w:p>
      <w:pPr>
        <w:spacing w:before="0" w:after="180" w:line="264" w:lineRule="auto"/>
        <w:ind w:firstLine="340"/>
        <w:jc w:val="both"/>
      </w:pPr>
      <w:r>
        <w:rPr>
          <w:rFonts w:ascii="Cambria" w:hAnsi="Cambria"/>
          <w:b w:val="0"/>
          <w:i w:val="0"/>
          <w:color w:val="141A21"/>
          <w:sz w:val="22"/>
        </w:rPr>
        <w:t>En qualité d'actionnaire, votre responsabilité est limitée à vos apports. La responsabilité des dirigeants est civile et pénale.</w:t>
      </w:r>
    </w:p>
    <w:p>
      <w:pPr>
        <w:spacing w:before="0" w:after="180" w:line="264" w:lineRule="auto"/>
        <w:ind w:firstLine="340"/>
        <w:jc w:val="both"/>
      </w:pPr>
      <w:r>
        <w:rPr>
          <w:rFonts w:ascii="Cambria" w:hAnsi="Cambria"/>
          <w:b w:val="0"/>
          <w:i w:val="0"/>
          <w:color w:val="141A21"/>
          <w:sz w:val="22"/>
        </w:rPr>
        <w:t>L'avantage principal de la SAS est la totale liberté laissée aux associés dans la détermination des règles de fonctionnement de la société.</w:t>
      </w:r>
    </w:p>
    <w:p>
      <w:pPr>
        <w:spacing w:before="0" w:after="180" w:line="264" w:lineRule="auto"/>
        <w:ind w:firstLine="340"/>
        <w:jc w:val="both"/>
      </w:pPr>
      <w:r>
        <w:rPr>
          <w:rFonts w:ascii="Cambria" w:hAnsi="Cambria"/>
          <w:b w:val="0"/>
          <w:i w:val="0"/>
          <w:color w:val="141A21"/>
          <w:sz w:val="22"/>
        </w:rPr>
        <w:t>Les dirigeants de la SAS sont assimilés salariés et bénéficient de ce fait de la protection sociale preuve par le régime de la sécurité sociale. Il convient donc d'être très rigoureux dans la rédaction des statuts.</w:t>
      </w:r>
    </w:p>
    <w:p>
      <w:pPr>
        <w:spacing w:before="0" w:after="180" w:line="264" w:lineRule="auto"/>
        <w:ind w:firstLine="340"/>
        <w:jc w:val="both"/>
      </w:pPr>
      <w:r>
        <w:rPr>
          <w:rFonts w:ascii="Cambria" w:hAnsi="Cambria"/>
          <w:b w:val="0"/>
          <w:i w:val="0"/>
          <w:color w:val="141A21"/>
          <w:sz w:val="22"/>
        </w:rPr>
        <w:t>Les statuts peuvent déterminer les règles d'organisation de la société :</w:t>
      </w:r>
    </w:p>
    <w:p>
      <w:pPr>
        <w:spacing w:before="0" w:after="180" w:line="264" w:lineRule="auto"/>
        <w:ind w:firstLine="340"/>
        <w:jc w:val="both"/>
      </w:pPr>
      <w:r>
        <w:rPr>
          <w:rFonts w:ascii="Cambria" w:hAnsi="Cambria"/>
          <w:b w:val="0"/>
          <w:i w:val="0"/>
          <w:color w:val="141A21"/>
          <w:sz w:val="22"/>
        </w:rPr>
        <w:t>Nomination d'un président unique ou d'un organe collégial de direction avec désignation d'un président habilité à engager la société ;</w:t>
      </w:r>
    </w:p>
    <w:p>
      <w:pPr>
        <w:spacing w:before="0" w:after="180" w:line="264" w:lineRule="auto"/>
        <w:ind w:firstLine="340"/>
        <w:jc w:val="both"/>
      </w:pPr>
      <w:r>
        <w:rPr>
          <w:rFonts w:ascii="Cambria" w:hAnsi="Cambria"/>
          <w:b w:val="0"/>
          <w:i w:val="0"/>
          <w:color w:val="141A21"/>
          <w:sz w:val="22"/>
        </w:rPr>
        <w:t>Possibilité de choisir ou non un dirigeant non-actionnaire ;</w:t>
      </w:r>
    </w:p>
    <w:p>
      <w:pPr>
        <w:spacing w:before="0" w:after="180" w:line="264" w:lineRule="auto"/>
        <w:ind w:firstLine="340"/>
        <w:jc w:val="both"/>
      </w:pPr>
      <w:r>
        <w:rPr>
          <w:rFonts w:ascii="Cambria" w:hAnsi="Cambria"/>
          <w:b w:val="0"/>
          <w:i w:val="0"/>
          <w:color w:val="141A21"/>
          <w:sz w:val="22"/>
        </w:rPr>
        <w:t>Possibilité de designer une personne morale en tant que dirigeant ;</w:t>
      </w:r>
    </w:p>
    <w:p>
      <w:pPr>
        <w:spacing w:before="0" w:after="180" w:line="264" w:lineRule="auto"/>
        <w:ind w:firstLine="340"/>
        <w:jc w:val="both"/>
      </w:pPr>
      <w:r>
        <w:rPr>
          <w:rFonts w:ascii="Cambria" w:hAnsi="Cambria"/>
          <w:b w:val="0"/>
          <w:i w:val="0"/>
          <w:color w:val="141A21"/>
          <w:sz w:val="22"/>
        </w:rPr>
        <w:t>Modalité de nomination et de révocation.</w:t>
      </w:r>
    </w:p>
    <w:p>
      <w:pPr>
        <w:spacing w:before="0" w:after="180" w:line="264" w:lineRule="auto"/>
        <w:ind w:firstLine="340"/>
        <w:jc w:val="both"/>
      </w:pPr>
      <w:r>
        <w:rPr>
          <w:rFonts w:ascii="Cambria" w:hAnsi="Cambria"/>
          <w:b w:val="0"/>
          <w:i w:val="0"/>
          <w:color w:val="141A21"/>
          <w:sz w:val="22"/>
        </w:rPr>
        <w:t>Les statuts déterminent aussi librement les modalités d'adoption des décisions collectives : définition des décisions devant entre prises collectivement, condition de forme, de quorum et de majorité, droit de veto à un associe en particulier, etc.</w:t>
      </w:r>
    </w:p>
    <w:p>
      <w:pPr>
        <w:spacing w:before="0" w:after="180" w:line="264" w:lineRule="auto"/>
        <w:ind w:firstLine="340"/>
        <w:jc w:val="both"/>
      </w:pPr>
      <w:r>
        <w:rPr>
          <w:rFonts w:ascii="Cambria" w:hAnsi="Cambria"/>
          <w:b w:val="0"/>
          <w:i w:val="0"/>
          <w:color w:val="141A21"/>
          <w:sz w:val="22"/>
        </w:rPr>
        <w:t>Il peut être prévu un organe de surveillance du ou des dirigeants.</w:t>
      </w:r>
    </w:p>
    <w:p>
      <w:pPr>
        <w:spacing w:before="0" w:after="180" w:line="264" w:lineRule="auto"/>
        <w:ind w:firstLine="340"/>
        <w:jc w:val="both"/>
      </w:pPr>
      <w:r>
        <w:rPr>
          <w:rFonts w:ascii="Cambria" w:hAnsi="Cambria"/>
          <w:b w:val="0"/>
          <w:i w:val="0"/>
          <w:color w:val="141A21"/>
          <w:sz w:val="22"/>
        </w:rPr>
        <w:t>Certaines décisions doivent entre prises collectivement en assemblée générale principalement, comme l'approbation des comptes et répartition des bénéfices, modifications du capital social, fusion, scission, dissolution, de la société, nomination des commissaires aux comptes, transformation de la société en une autre forme de société, examen des conventions conclues entre la société et ses dirigeants et associés, ainsi que les décisions nécessitant l'accord unanime des associés comme agrément des associés en cas de cession d'actions.</w:t>
      </w:r>
    </w:p>
    <w:p>
      <w:pPr>
        <w:spacing w:before="0" w:after="180" w:line="264" w:lineRule="auto"/>
        <w:ind w:firstLine="340"/>
        <w:jc w:val="both"/>
      </w:pPr>
      <w:r>
        <w:rPr>
          <w:rFonts w:ascii="Cambria" w:hAnsi="Cambria"/>
          <w:b w:val="0"/>
          <w:i w:val="0"/>
          <w:color w:val="141A21"/>
          <w:sz w:val="22"/>
        </w:rPr>
        <w:t>Existence de spécificités des SAS unipersonnelle dirigées par un associé personne physique :</w:t>
      </w:r>
    </w:p>
    <w:p>
      <w:pPr>
        <w:spacing w:before="0" w:after="180" w:line="264" w:lineRule="auto"/>
        <w:ind w:firstLine="340"/>
        <w:jc w:val="both"/>
      </w:pPr>
      <w:r>
        <w:rPr>
          <w:rFonts w:ascii="Cambria" w:hAnsi="Cambria"/>
          <w:b w:val="0"/>
          <w:i w:val="0"/>
          <w:color w:val="141A21"/>
          <w:sz w:val="22"/>
        </w:rPr>
        <w:t>L'insertion d'un avis au Bulletin officiel des annonces civiles et commerciales (Bodacc), effectué par le greffier du tribunal de commerce, n'est plus requise lors de l'immatriculation de la société ;</w:t>
      </w:r>
    </w:p>
    <w:p>
      <w:pPr>
        <w:spacing w:before="0" w:after="180" w:line="264" w:lineRule="auto"/>
        <w:ind w:firstLine="340"/>
        <w:jc w:val="both"/>
      </w:pPr>
      <w:r>
        <w:rPr>
          <w:rFonts w:ascii="Cambria" w:hAnsi="Cambria"/>
          <w:b w:val="0"/>
          <w:i w:val="0"/>
          <w:color w:val="141A21"/>
          <w:sz w:val="22"/>
        </w:rPr>
        <w:t>Dispense d'établir un rapport de gestion chaque année lorsque l'activité ne dépassé pas à la clôture d'un exercice social deux des trois seuils suivants : 4 millions d'euros pour le total du bilan, 8 millions d'euros pour le chiffre d'affaires hors taxes, 50 personnes pour le nombre moyen de salariés permanents employés au cours de l'exercice ;</w:t>
      </w:r>
    </w:p>
    <w:p>
      <w:pPr>
        <w:spacing w:before="0" w:after="180" w:line="264" w:lineRule="auto"/>
        <w:ind w:firstLine="340"/>
        <w:jc w:val="both"/>
      </w:pPr>
      <w:r>
        <w:rPr>
          <w:rFonts w:ascii="Cambria" w:hAnsi="Cambria"/>
          <w:b w:val="0"/>
          <w:i w:val="0"/>
          <w:color w:val="141A21"/>
          <w:sz w:val="22"/>
        </w:rPr>
        <w:t>Dispense de déposer au greffe du tribunal de commerce le rapport de gestion dans le cas où il serait tenu de l'établir ; il devra cependant le tenir à disposition de toute personne qui en fait la demande ;</w:t>
      </w:r>
    </w:p>
    <w:p>
      <w:pPr>
        <w:spacing w:before="0" w:after="180" w:line="264" w:lineRule="auto"/>
        <w:ind w:firstLine="340"/>
        <w:jc w:val="both"/>
      </w:pPr>
      <w:r>
        <w:rPr>
          <w:rFonts w:ascii="Cambria" w:hAnsi="Cambria"/>
          <w:b w:val="0"/>
          <w:i w:val="0"/>
          <w:color w:val="141A21"/>
          <w:sz w:val="22"/>
        </w:rPr>
        <w:t>Dispenser d'approuver les comptes sociaux : cette formalité est réputée accomplie par le dépôt des comptes annuels et de l'inventaire au greffe du tribunal de commerce ;</w:t>
      </w:r>
    </w:p>
    <w:p>
      <w:pPr>
        <w:spacing w:before="0" w:after="180" w:line="264" w:lineRule="auto"/>
        <w:ind w:firstLine="340"/>
        <w:jc w:val="both"/>
      </w:pPr>
      <w:r>
        <w:rPr>
          <w:rFonts w:ascii="Cambria" w:hAnsi="Cambria"/>
          <w:b w:val="0"/>
          <w:i w:val="0"/>
          <w:color w:val="141A21"/>
          <w:sz w:val="22"/>
        </w:rPr>
        <w:t>Dispenser de mentionner sur le registre de la société le récépissé délivré par le greffe lors du dépôt des comptes annuels.</w:t>
      </w:r>
    </w:p>
    <w:p>
      <w:pPr>
        <w:spacing w:before="0" w:after="180" w:line="264" w:lineRule="auto"/>
        <w:ind w:firstLine="340"/>
        <w:jc w:val="both"/>
      </w:pPr>
      <w:r>
        <w:rPr>
          <w:rFonts w:ascii="Cambria" w:hAnsi="Cambria"/>
          <w:b w:val="0"/>
          <w:i w:val="0"/>
          <w:color w:val="141A21"/>
          <w:sz w:val="22"/>
        </w:rPr>
        <w:t>Le régime social du ou des dirigeants personnes physiques relève du régime des "assimilés-salariés" ; il bénéficie à ce titre du régime de la sécurité sociale et de retraite des salariés, en ce qui concerne ses fonctions de dirigeant, quel que soit le nombre d'actions détenu dans la société. Il ne bénéficie pas du régime d'assurance chômage.</w:t>
      </w:r>
    </w:p>
    <w:p>
      <w:pPr>
        <w:spacing w:before="0" w:after="180" w:line="264" w:lineRule="auto"/>
        <w:ind w:firstLine="340"/>
        <w:jc w:val="both"/>
      </w:pPr>
      <w:r>
        <w:rPr>
          <w:rFonts w:ascii="Cambria" w:hAnsi="Cambria"/>
          <w:b w:val="0"/>
          <w:i w:val="0"/>
          <w:color w:val="141A21"/>
          <w:sz w:val="22"/>
        </w:rPr>
        <w:t>Il peut cumuler ses fonctions de président avec un contrat de travail relatif à des fonctions techniques distinctes, mais il ne sera couvert par le Pole Emploi au titre de ce contrat que s'il est possible d'établir un lien de subordination entre lui et la société.</w:t>
      </w:r>
    </w:p>
    <w:p>
      <w:pPr>
        <w:spacing w:before="0" w:after="180" w:line="264" w:lineRule="auto"/>
        <w:ind w:firstLine="340"/>
        <w:jc w:val="both"/>
      </w:pPr>
      <w:r>
        <w:rPr>
          <w:rFonts w:ascii="Cambria" w:hAnsi="Cambria"/>
          <w:b w:val="0"/>
          <w:i w:val="0"/>
          <w:color w:val="141A21"/>
          <w:sz w:val="22"/>
        </w:rPr>
        <w:t>La SAS est de droit soumise à l'impôt sur les sociétés.</w:t>
      </w:r>
    </w:p>
    <w:p>
      <w:pPr>
        <w:spacing w:before="0" w:after="180" w:line="264" w:lineRule="auto"/>
        <w:ind w:firstLine="340"/>
        <w:jc w:val="both"/>
      </w:pPr>
      <w:r>
        <w:rPr>
          <w:rFonts w:ascii="Cambria" w:hAnsi="Cambria"/>
          <w:b w:val="0"/>
          <w:i w:val="0"/>
          <w:color w:val="141A21"/>
          <w:sz w:val="22"/>
        </w:rPr>
        <w:t>L'option pour l'imposition des bénéfices à l'impôt sur le revenu est ouverte aux SAS :</w:t>
      </w:r>
    </w:p>
    <w:p>
      <w:pPr>
        <w:spacing w:before="0" w:after="180" w:line="264" w:lineRule="auto"/>
        <w:ind w:firstLine="340"/>
        <w:jc w:val="both"/>
      </w:pPr>
      <w:r>
        <w:rPr>
          <w:rFonts w:ascii="Cambria" w:hAnsi="Cambria"/>
          <w:b w:val="0"/>
          <w:i w:val="0"/>
          <w:color w:val="141A21"/>
          <w:sz w:val="22"/>
        </w:rPr>
        <w:t>Exercer une activité commerciale, artisanale, agricole ou libérale (à l'exclusion de la gestion propre de son patrimoine immobilier ou mobilier) ;</w:t>
      </w:r>
    </w:p>
    <w:p>
      <w:pPr>
        <w:spacing w:before="0" w:after="180" w:line="264" w:lineRule="auto"/>
        <w:ind w:firstLine="340"/>
        <w:jc w:val="both"/>
      </w:pPr>
      <w:r>
        <w:rPr>
          <w:rFonts w:ascii="Cambria" w:hAnsi="Cambria"/>
          <w:b w:val="0"/>
          <w:i w:val="0"/>
          <w:color w:val="141A21"/>
          <w:sz w:val="22"/>
        </w:rPr>
        <w:t>Créées depuis moins de 5 ans au moment de l'option ;</w:t>
      </w:r>
    </w:p>
    <w:p>
      <w:pPr>
        <w:spacing w:before="0" w:after="180" w:line="264" w:lineRule="auto"/>
        <w:ind w:firstLine="340"/>
        <w:jc w:val="both"/>
      </w:pPr>
      <w:r>
        <w:rPr>
          <w:rFonts w:ascii="Cambria" w:hAnsi="Cambria"/>
          <w:b w:val="0"/>
          <w:i w:val="0"/>
          <w:color w:val="141A21"/>
          <w:sz w:val="22"/>
        </w:rPr>
        <w:t>Employant moins de 50 salariés et réalisant un chiffre d'affaires annuel ou un total de bilan inferieur à 10 millions d'euros ;</w:t>
      </w:r>
    </w:p>
    <w:p>
      <w:pPr>
        <w:spacing w:before="0" w:after="180" w:line="264" w:lineRule="auto"/>
        <w:ind w:firstLine="340"/>
        <w:jc w:val="both"/>
      </w:pPr>
      <w:r>
        <w:rPr>
          <w:rFonts w:ascii="Cambria" w:hAnsi="Cambria"/>
          <w:b w:val="0"/>
          <w:i w:val="0"/>
          <w:color w:val="141A21"/>
          <w:sz w:val="22"/>
        </w:rPr>
        <w:t>Non cotées sur le marché réglementé ;</w:t>
      </w:r>
    </w:p>
    <w:p>
      <w:pPr>
        <w:spacing w:before="0" w:after="180" w:line="264" w:lineRule="auto"/>
        <w:ind w:firstLine="340"/>
        <w:jc w:val="both"/>
      </w:pPr>
      <w:r>
        <w:rPr>
          <w:rFonts w:ascii="Cambria" w:hAnsi="Cambria"/>
          <w:b w:val="0"/>
          <w:i w:val="0"/>
          <w:color w:val="141A21"/>
          <w:sz w:val="22"/>
        </w:rPr>
        <w:t>Et ayant des droits de vote détenus à hauteur de 50% au moins par des personnes physiques et à hauteur de 34% au moins par le (ou les) dirigeant(s) de l'entreprise et les membres de son foyer fiscal.</w:t>
      </w:r>
    </w:p>
    <w:p>
      <w:pPr>
        <w:spacing w:before="0" w:after="180" w:line="264" w:lineRule="auto"/>
        <w:ind w:firstLine="340"/>
        <w:jc w:val="both"/>
      </w:pPr>
      <w:r>
        <w:rPr>
          <w:rFonts w:ascii="Cambria" w:hAnsi="Cambria"/>
          <w:b w:val="0"/>
          <w:i w:val="0"/>
          <w:color w:val="141A21"/>
          <w:sz w:val="22"/>
        </w:rPr>
        <w:t>L'option nécessite l'unanimité des associés. Elle peut être formulée auprès du service dés impôts dans les 3 premiers mois de l'exercice au cours duquel elle doit s'appliquer. Elle est valable pour 5 exercices, sans renouvellement possible et peut être dénoncée dans les mêmes délais et l'entrepris ne pourra plus revenir à l'impôt sur le revenu.</w:t>
      </w:r>
    </w:p>
    <w:p>
      <w:pPr>
        <w:spacing w:before="0" w:after="180" w:line="264" w:lineRule="auto"/>
        <w:ind w:firstLine="340"/>
        <w:jc w:val="both"/>
      </w:pPr>
      <w:r>
        <w:rPr>
          <w:rFonts w:ascii="Cambria" w:hAnsi="Cambria"/>
          <w:b w:val="0"/>
          <w:i w:val="0"/>
          <w:color w:val="141A21"/>
          <w:sz w:val="22"/>
        </w:rPr>
        <w:t>La rémunération du président est imposée sur le revenu dans la catégorie des traitements et salaires et peut se voir appliquer la déduction forfaitaire pour frais professionnels de 10% ou la déduction des ses frais réels et justifiés.</w:t>
      </w:r>
    </w:p>
    <w:p>
      <w:pPr>
        <w:spacing w:before="0" w:after="180" w:line="264" w:lineRule="auto"/>
        <w:ind w:firstLine="340"/>
        <w:jc w:val="both"/>
      </w:pPr>
      <w:r>
        <w:rPr>
          <w:rFonts w:ascii="Cambria" w:hAnsi="Cambria"/>
          <w:b w:val="0"/>
          <w:i w:val="0"/>
          <w:color w:val="141A21"/>
          <w:sz w:val="22"/>
        </w:rPr>
        <w:t>Vous devez tenir une comptabilité mentionnant tous les mouvements affectant le patrimoine de la société, réaliser un inventaire au moins une fois par an, permettant de contrôler physiquement la valeur de l'actif et du passif de la société.</w:t>
      </w:r>
    </w:p>
    <w:p>
      <w:pPr>
        <w:spacing w:before="0" w:after="180" w:line="264" w:lineRule="auto"/>
        <w:ind w:firstLine="340"/>
        <w:jc w:val="both"/>
      </w:pPr>
      <w:r>
        <w:rPr>
          <w:rFonts w:ascii="Cambria" w:hAnsi="Cambria"/>
          <w:b w:val="0"/>
          <w:i w:val="0"/>
          <w:color w:val="141A21"/>
          <w:sz w:val="22"/>
        </w:rPr>
        <w:t>La désignation d'un commissaire aux comptes dans les SAS n'est obligatoire que si l'une des conditions suivantes est remplie :</w:t>
      </w:r>
    </w:p>
    <w:p>
      <w:pPr>
        <w:spacing w:before="0" w:after="180" w:line="264" w:lineRule="auto"/>
        <w:ind w:firstLine="340"/>
        <w:jc w:val="both"/>
      </w:pPr>
      <w:r>
        <w:rPr>
          <w:rFonts w:ascii="Cambria" w:hAnsi="Cambria"/>
          <w:b w:val="0"/>
          <w:i w:val="0"/>
          <w:color w:val="141A21"/>
          <w:sz w:val="22"/>
        </w:rPr>
        <w:t>La SAS dépasse à la clôture de l'exercice, deux des seuils suivants : total du bilan supérieur à 4 million d'euros, chiffre d'affaires hors taxes supérieur à 8 millions d'euros et/ou nombre moyen de salariés permanents employés au cours de l'exercice dépassant 50 salariés.</w:t>
      </w:r>
    </w:p>
    <w:p>
      <w:pPr>
        <w:spacing w:before="0" w:after="180" w:line="264" w:lineRule="auto"/>
        <w:ind w:firstLine="340"/>
        <w:jc w:val="both"/>
      </w:pPr>
      <w:r>
        <w:rPr>
          <w:rFonts w:ascii="Cambria" w:hAnsi="Cambria"/>
          <w:b w:val="0"/>
          <w:i w:val="0"/>
          <w:color w:val="141A21"/>
          <w:sz w:val="22"/>
        </w:rPr>
        <w:t>La SAS contrôle ou est contrôlée par une ou plusieurs sociétés. Nous sommes toujours dans l’attente de décrets d’application.</w:t>
      </w:r>
    </w:p>
    <w:p>
      <w:pPr>
        <w:spacing w:before="0" w:after="180" w:line="264" w:lineRule="auto"/>
        <w:ind w:firstLine="340"/>
        <w:jc w:val="both"/>
      </w:pPr>
      <w:r>
        <w:rPr>
          <w:rFonts w:ascii="Cambria" w:hAnsi="Cambria"/>
          <w:b w:val="0"/>
          <w:i w:val="0"/>
          <w:color w:val="141A21"/>
          <w:sz w:val="22"/>
        </w:rPr>
        <w:t>Un ou plusieurs associés représentant au moins le dixième du capital demandant en référé au président du tribunal de commerce, la nomination d'un commissaire aux comptes.</w:t>
      </w:r>
    </w:p>
    <w:p>
      <w:pPr>
        <w:spacing w:before="0" w:after="180" w:line="264" w:lineRule="auto"/>
        <w:ind w:firstLine="340"/>
        <w:jc w:val="both"/>
      </w:pPr>
      <w:r>
        <w:rPr>
          <w:rFonts w:ascii="Cambria" w:hAnsi="Cambria"/>
          <w:b w:val="0"/>
          <w:i w:val="0"/>
          <w:color w:val="141A21"/>
          <w:sz w:val="22"/>
        </w:rPr>
        <w:t>Les associés fondateurs déterminent librement dans les statuts les conditions d'entrée et de sortie des associés : clause d'agrément applicable en cas de cession à des tiers ou même entre associés, clause d'exclusion d'un associé, etc.</w:t>
      </w:r>
    </w:p>
    <w:p>
      <w:pPr>
        <w:spacing w:before="0" w:after="180" w:line="264" w:lineRule="auto"/>
        <w:ind w:firstLine="340"/>
        <w:jc w:val="both"/>
      </w:pPr>
      <w:r>
        <w:rPr>
          <w:rFonts w:ascii="Cambria" w:hAnsi="Cambria"/>
          <w:b w:val="0"/>
          <w:i w:val="0"/>
          <w:color w:val="141A21"/>
          <w:sz w:val="22"/>
        </w:rPr>
        <w:t>Les cessions d'actions sont assujetties à une taxation de 0,1% à la charge de l'acquéreur. Les plus-values professionnelles sont à la charge du vendeur.</w:t>
      </w:r>
    </w:p>
    <w:p>
      <w:pPr>
        <w:spacing w:before="0" w:after="180" w:line="264" w:lineRule="auto"/>
        <w:ind w:firstLine="340"/>
        <w:jc w:val="both"/>
      </w:pPr>
      <w:r>
        <w:rPr>
          <w:rFonts w:ascii="Cambria" w:hAnsi="Cambria"/>
          <w:b w:val="0"/>
          <w:i w:val="0"/>
          <w:color w:val="141A21"/>
          <w:sz w:val="22"/>
        </w:rPr>
        <w:t>La rédaction des statuts est primordiale et ceux ci doivent être signés et enregistrés auprès du service des impôts dans le mois qui suit leur signature. Enfin le dossier de création complet doit être déposé au Centre de Formalité des Entreprises (CFE) compétent.</w:t>
      </w:r>
    </w:p>
    <w:p>
      <w:pPr>
        <w:spacing w:before="0" w:after="180" w:line="264" w:lineRule="auto"/>
        <w:ind w:firstLine="340"/>
        <w:jc w:val="both"/>
      </w:pPr>
      <w:r>
        <w:rPr>
          <w:rFonts w:ascii="Cambria" w:hAnsi="Cambria"/>
          <w:b w:val="0"/>
          <w:i w:val="0"/>
          <w:color w:val="141A21"/>
          <w:sz w:val="22"/>
        </w:rPr>
        <w:t>C’est ma chouchoute car elle est « simple » à gérer il suffit de le prévoir dans les statuts ou dans des actes annexes. Il n’y a pas de problématique de majoritaire ou pas, tous les dirigeants sont au régime général de la sécurité sociale. En plus les dirigeants peuvent être des personnes morales ce qui est indispensable dans le montage du triangle magique afin de valider les flux entre le holding (a voir plus tard) et les filiales.</w:t>
      </w:r>
    </w:p>
    <w:p>
      <w:pPr>
        <w:spacing w:before="0" w:after="180" w:line="264" w:lineRule="auto"/>
        <w:ind w:firstLine="340"/>
        <w:jc w:val="both"/>
      </w:pPr>
      <w:r>
        <w:rPr>
          <w:rFonts w:ascii="Cambria" w:hAnsi="Cambria"/>
          <w:b w:val="0"/>
          <w:i w:val="0"/>
          <w:color w:val="141A21"/>
          <w:sz w:val="22"/>
        </w:rPr>
        <w:t>La Société Anonyme (SA) est plutôt utilisée pour une société de capitaux qui concerne des projets importants et dont les associés peuvent ne pas se connaitre et dont la participation est fondée sur les capitaux qu'ils ont investis dans l'entreprise. Vous devez être au moins sept pour créer une SA et sans limite de maximum. Les associés peuvent être des personnes physiques ou morales. Le capital minimum est de 37.000€ et les apports en industrie sont interdits. La responsabilité des associés est limitée à leurs apports en capital et celle des dirigeants peut être tant civile que pénale. La SA est une structure évolutive qui permet de porter des projets d'importance compte tenu du nombre d'associé, dont la responsabilité est limité aux apports. Cette structure emporte une certaine crédibilité vis-à-vis des banques, clients et fournisseurs. La facilité et la souplesse des cessions d'actions sont également un plus. En revanche le fonctionnement d'une SA est lourd au vu du nombre d'associés. La situation du président est instable dans la mesure où il peut être révoqué sans préavis et sans indemnités par le conseil d'administration. La rédaction des statuts est donc primordiale.</w:t>
      </w:r>
    </w:p>
    <w:p>
      <w:pPr>
        <w:spacing w:before="0" w:after="180" w:line="264" w:lineRule="auto"/>
        <w:ind w:firstLine="340"/>
        <w:jc w:val="both"/>
      </w:pPr>
      <w:r>
        <w:rPr>
          <w:rFonts w:ascii="Cambria" w:hAnsi="Cambria"/>
          <w:b w:val="0"/>
          <w:i w:val="0"/>
          <w:color w:val="141A21"/>
          <w:sz w:val="22"/>
        </w:rPr>
        <w:t>Un conseil d'administration dirige la société, il comprend de 3 à 18 membres, il détermine les orientations de l'activité et veille à leur mise en œuvre. Le conseil d'administration désigne son président parmi ses membres. Le conseil ou le président du conseil d'administration peut nommer un directeur général, qui assure la gestion courante de la société et la représente dans ses rapports avec les tiers. La fréquence des réunions du conseil d'administration n'est pas réglementée.</w:t>
      </w:r>
    </w:p>
    <w:p>
      <w:pPr>
        <w:spacing w:before="0" w:after="180" w:line="264" w:lineRule="auto"/>
        <w:ind w:firstLine="340"/>
        <w:jc w:val="both"/>
      </w:pPr>
      <w:r>
        <w:rPr>
          <w:rFonts w:ascii="Cambria" w:hAnsi="Cambria"/>
          <w:b w:val="0"/>
          <w:i w:val="0"/>
          <w:color w:val="141A21"/>
          <w:sz w:val="22"/>
        </w:rPr>
        <w:t>L'assemblée générale ordinaire des actionnaires (AGO) se tient une fois par an, elle approuve les comptes annuels et prends les décisions ordinaires à la majorité des voix (50% + 1 voix). La minorité de blocage est de 50%. Pour prendre une décision, les actionnaires présents ou représentés doivent posséder au moins le cinquième des actions, c'est le quorum.</w:t>
      </w:r>
    </w:p>
    <w:p>
      <w:pPr>
        <w:spacing w:before="0" w:after="180" w:line="264" w:lineRule="auto"/>
        <w:ind w:firstLine="340"/>
        <w:jc w:val="both"/>
      </w:pPr>
      <w:r>
        <w:rPr>
          <w:rFonts w:ascii="Cambria" w:hAnsi="Cambria"/>
          <w:b w:val="0"/>
          <w:i w:val="0"/>
          <w:color w:val="141A21"/>
          <w:sz w:val="22"/>
        </w:rPr>
        <w:t>L'assemblée générale extraordinaire (AGE) qui décide de modifier les statuts, à la majorité des deux tiers des voix la minorité de blocage est donc de 33 % + 1 voix. Pour prendre une décision, les actionnaires présents ou représentés doivent posséder au moins le quart des actions lors de la première convocation de l'AGE (quorum). A défaut de majorité, la seconde AGE doit se tenir dans un délai maximum de 2 mois et les actionnaires présents ou représentés doivent posséder au moins le cinquième des actions.</w:t>
      </w:r>
    </w:p>
    <w:p>
      <w:pPr>
        <w:spacing w:before="0" w:after="180" w:line="264" w:lineRule="auto"/>
        <w:ind w:firstLine="340"/>
        <w:jc w:val="both"/>
      </w:pPr>
      <w:r>
        <w:rPr>
          <w:rFonts w:ascii="Cambria" w:hAnsi="Cambria"/>
          <w:b w:val="0"/>
          <w:i w:val="0"/>
          <w:color w:val="141A21"/>
          <w:sz w:val="22"/>
        </w:rPr>
        <w:t>Le président et le directeur général sont des "assimilés-salariés" et bénéficient du régime de sécurité sociale et de retraite des salariés pour leurs fonctions de dirigeants, quel que soit le nombre d'actions détenues dans la société. Ils sont exclus de l'assurance chômage.</w:t>
      </w:r>
    </w:p>
    <w:p>
      <w:pPr>
        <w:spacing w:before="0" w:after="180" w:line="264" w:lineRule="auto"/>
        <w:ind w:firstLine="340"/>
        <w:jc w:val="both"/>
      </w:pPr>
      <w:r>
        <w:rPr>
          <w:rFonts w:ascii="Cambria" w:hAnsi="Cambria"/>
          <w:b w:val="0"/>
          <w:i w:val="0"/>
          <w:color w:val="141A21"/>
          <w:sz w:val="22"/>
        </w:rPr>
        <w:t>Le président peut cumuler ses fonctions de président avec un contrat de travail (conclu antérieurement à sa nomination) relatif à des fonctions techniques distinctes. Il ne sera couvert par Pole Emploi au titre de ce contrat que s'il est possible d'établir un lien de subordination entre lui et la société (situation rare en pratique). Les rémunérations du président et du directeur général ainsi que les administrateurs titulaires d'un contre de travail sont imposés fiscalement comme des "traitements et salaires". Les autres administrateurs ne sont a priori pas rémunérées et ne relèvent donc ni du régime des salariés ni de celui des travailleurs non salariés.</w:t>
      </w:r>
    </w:p>
    <w:p>
      <w:pPr>
        <w:spacing w:before="0" w:after="180" w:line="264" w:lineRule="auto"/>
        <w:ind w:firstLine="340"/>
        <w:jc w:val="both"/>
      </w:pPr>
      <w:r>
        <w:rPr>
          <w:rFonts w:ascii="Cambria" w:hAnsi="Cambria"/>
          <w:b w:val="0"/>
          <w:i w:val="0"/>
          <w:color w:val="141A21"/>
          <w:sz w:val="22"/>
        </w:rPr>
        <w:t>La SA est imposée de droit à l'import sur les sociétés. Le bénéfice imposable s'entend déduction faire de la rémunération du ou des dirigeants La société doit tenir une comptabilité régulière et établie les comptes annuels, les livres de comptes sont obligatoires et les comptes doivent être obligatoirement approuvés par les associés. La SA de moins de 5 ans peut opter pour l'impôt sur le revenu aux mêmes conditions que la SARL.</w:t>
      </w:r>
    </w:p>
    <w:p>
      <w:pPr>
        <w:spacing w:before="0" w:after="180" w:line="264" w:lineRule="auto"/>
        <w:ind w:firstLine="340"/>
        <w:jc w:val="both"/>
      </w:pPr>
      <w:r>
        <w:rPr>
          <w:rFonts w:ascii="Cambria" w:hAnsi="Cambria"/>
          <w:b w:val="0"/>
          <w:i w:val="0"/>
          <w:color w:val="141A21"/>
          <w:sz w:val="22"/>
        </w:rPr>
        <w:t>Les cessions d'actions sont libres, soumises à des droits d'enregistrement et taxées à 0,1% à la charge de l'acquéreur, les plus-values étant à la charge du vendeur.</w:t>
      </w:r>
    </w:p>
    <w:p>
      <w:pPr>
        <w:spacing w:before="0" w:after="180" w:line="264" w:lineRule="auto"/>
        <w:ind w:firstLine="340"/>
        <w:jc w:val="both"/>
      </w:pPr>
      <w:r>
        <w:rPr>
          <w:rFonts w:ascii="Cambria" w:hAnsi="Cambria"/>
          <w:b w:val="0"/>
          <w:i w:val="0"/>
          <w:color w:val="141A21"/>
          <w:sz w:val="22"/>
        </w:rPr>
        <w:t>Celle-là je l’aime bien, d’ailleurs c’est la forme juridique de mon holding. Quand j’ai créé mon holding j’ai cherché sous quelle forme juridique je le faisais. La SA avait des avantages à l’époque car le dirigeant même majoritaire pouvait bénéficier du régime social des salariés (ce qui a l’époque n’était pas encore précisément reconnu au président de SAS) et surtout car la direction était collégiale et pour ma part c’était important de ne pas cogité seul, et nous devons être plusieurs associés pour qu’elle fonctionne et de ce fait nous nous réunissons régulièrement pour confronter nos visions sur tel ou tel sujet. J’ai donc embarqué des gens de confiance et d’horizon différent dans ma SA comme des copains de promo de l’ENC lolo et phil toujours fidèles au poste, mon tonton Jeannot toujours à me divulguer ses conseils d’ancien chef d’entreprise, ma maman qui garde toujours un œil maternelle sur les décisions. Le conseil d’administration reste un espace où les décisions se prennent après ouverture des débats. J’aime bien ce moment. Nous devons trancher sur certains sujets. Ne nous voilons pas la face, quand vous détenez la majorité du capital social vous pouvez vous passez de leur avis mais le législateur l’a voulu ainsi et je pense qu’il a eu raison car si le dirigeant majoritaire reconnait la valeur de ses associés et surtout s’il les a choisit, il doit tenir compte des réactions et des interprétations des associés qui peuvent être différentes des siennes. C’est ca la richesse. J’en parle régulièrement de cette richesse due aux différentes expériences des uns et des autres et ce qu’elle apporte dans des grandes structures où parfois vous êtes une trentaine en réunion d’associés et que vous avez l’impression que la majorité d’entres eux acceptent les propositions présenter par la direction. Pour ma part je sollicite cette « confrontation » d’opinion qui bien ressentie et dans l’intérêt de faire évoluer positivement les choses a souvent été pour moi bénéfique même si au départ cela était en contradiction avec mes vision primaire.</w:t>
      </w:r>
    </w:p>
    <w:p>
      <w:pPr>
        <w:pStyle w:val="Heading3"/>
        <w:spacing w:before="400" w:after="100" w:line="276" w:lineRule="auto"/>
      </w:pPr>
      <w:r>
        <w:rPr>
          <w:rFonts w:ascii="Calibri" w:hAnsi="Calibri"/>
          <w:b/>
          <w:i w:val="0"/>
          <w:color w:val="141A21"/>
          <w:sz w:val="27"/>
        </w:rPr>
        <w:t>Les sociétés d'exercice libéral et la société en nom collectif</w:t>
      </w:r>
    </w:p>
    <w:p>
      <w:pPr>
        <w:spacing w:before="0" w:after="180" w:line="264" w:lineRule="auto"/>
        <w:jc w:val="both"/>
      </w:pPr>
      <w:r>
        <w:rPr>
          <w:rFonts w:ascii="Cambria" w:hAnsi="Cambria"/>
          <w:b w:val="0"/>
          <w:i w:val="0"/>
          <w:color w:val="141A21"/>
          <w:sz w:val="22"/>
        </w:rPr>
        <w:t>La Société d'Exercice Libérale à Responsabilité Limitée (SELARL) : cette société permet aux membres des professions libérales soumises à un statut législatif ou réglementaire, ou dont le titre est protégé, d'exercer leur activité sous forme de société de capitaux pour lesquelles un décret d'application a été publié. Cette forme juridique a été une révolution pour les professions médicales. En effet cela permettait à plusieurs praticiens d’un même ordre (médecins généralistes, chirurgiens dentistes, etc.) de se regrouper afin d’obtenir le fameux affectio sociétatis, ce mot de passe magique qui permet de travailler à plusieurs pour le compte de leur société. Ce mode d’exercice à été pénalisé par la position des ordres professionnels qui ont longtemps bloqué intellectuellement sur ce montage préférant que les praticiens restent en professions libérales. J’avoue que je n’ai jamais compris ce positionnement.</w:t>
      </w:r>
    </w:p>
    <w:p>
      <w:pPr>
        <w:spacing w:before="0" w:after="180" w:line="264" w:lineRule="auto"/>
        <w:ind w:firstLine="340"/>
        <w:jc w:val="both"/>
      </w:pPr>
      <w:r>
        <w:rPr>
          <w:rFonts w:ascii="Cambria" w:hAnsi="Cambria"/>
          <w:b w:val="0"/>
          <w:i w:val="0"/>
          <w:color w:val="141A21"/>
          <w:sz w:val="22"/>
        </w:rPr>
        <w:t>Trois catégories d'associés peuvent constituer une SELARL :</w:t>
      </w:r>
    </w:p>
    <w:p>
      <w:pPr>
        <w:spacing w:before="0" w:after="180" w:line="264" w:lineRule="auto"/>
        <w:ind w:firstLine="340"/>
        <w:jc w:val="both"/>
      </w:pPr>
      <w:r>
        <w:rPr>
          <w:rFonts w:ascii="Cambria" w:hAnsi="Cambria"/>
          <w:b w:val="0"/>
          <w:i w:val="0"/>
          <w:color w:val="141A21"/>
          <w:sz w:val="22"/>
        </w:rPr>
        <w:t>Les associés exerçant leur profession au sein de la société, ils doivent détenir, directement ou indirectement ou par l'intermédiaire d'une société ayant procédé au rachat de l'entreprise par ses salariés, plus de la moitié du capital social et des droits de vote ;</w:t>
      </w:r>
    </w:p>
    <w:p>
      <w:pPr>
        <w:spacing w:before="0" w:after="180" w:line="264" w:lineRule="auto"/>
        <w:ind w:firstLine="340"/>
        <w:jc w:val="both"/>
      </w:pPr>
      <w:r>
        <w:rPr>
          <w:rFonts w:ascii="Cambria" w:hAnsi="Cambria"/>
          <w:b w:val="0"/>
          <w:i w:val="0"/>
          <w:color w:val="141A21"/>
          <w:sz w:val="22"/>
        </w:rPr>
        <w:t>Les professionnels extérieurs à la société ;</w:t>
      </w:r>
    </w:p>
    <w:p>
      <w:pPr>
        <w:spacing w:before="0" w:after="180" w:line="264" w:lineRule="auto"/>
        <w:ind w:firstLine="340"/>
        <w:jc w:val="both"/>
      </w:pPr>
      <w:r>
        <w:rPr>
          <w:rFonts w:ascii="Cambria" w:hAnsi="Cambria"/>
          <w:b w:val="0"/>
          <w:i w:val="0"/>
          <w:color w:val="141A21"/>
          <w:sz w:val="22"/>
        </w:rPr>
        <w:t>Les tiers non professionnels.</w:t>
      </w:r>
    </w:p>
    <w:p>
      <w:pPr>
        <w:spacing w:before="0" w:after="180" w:line="264" w:lineRule="auto"/>
        <w:ind w:firstLine="340"/>
        <w:jc w:val="both"/>
      </w:pPr>
      <w:r>
        <w:rPr>
          <w:rFonts w:ascii="Cambria" w:hAnsi="Cambria"/>
          <w:b w:val="0"/>
          <w:i w:val="0"/>
          <w:color w:val="141A21"/>
          <w:sz w:val="22"/>
        </w:rPr>
        <w:t>Les associés sont au minimum 2 et au maximum 100, le montant du capital social est libre et les apports en industrie sont possibles. La responsabilité des associés est limitée aux apports mais la responsabilité civile peut être engagée.</w:t>
      </w:r>
    </w:p>
    <w:p>
      <w:pPr>
        <w:spacing w:before="0" w:after="180" w:line="264" w:lineRule="auto"/>
        <w:ind w:firstLine="340"/>
        <w:jc w:val="both"/>
      </w:pPr>
      <w:r>
        <w:rPr>
          <w:rFonts w:ascii="Cambria" w:hAnsi="Cambria"/>
          <w:b w:val="0"/>
          <w:i w:val="0"/>
          <w:color w:val="141A21"/>
          <w:sz w:val="22"/>
        </w:rPr>
        <w:t>L'indépendance des professions libérales exercée au sein de la société est préservée.</w:t>
      </w:r>
    </w:p>
    <w:p>
      <w:pPr>
        <w:spacing w:before="0" w:after="180" w:line="264" w:lineRule="auto"/>
        <w:ind w:firstLine="340"/>
        <w:jc w:val="both"/>
      </w:pPr>
      <w:r>
        <w:rPr>
          <w:rFonts w:ascii="Cambria" w:hAnsi="Cambria"/>
          <w:b w:val="0"/>
          <w:i w:val="0"/>
          <w:color w:val="141A21"/>
          <w:sz w:val="22"/>
        </w:rPr>
        <w:t>Le fonctionnement peut parfois être lourd, compte tenu des particularités attachées aux professions libérales membres de la SELARL dans la mesure où chaque profession libérale est elle-même régie par ses propres règles.</w:t>
      </w:r>
    </w:p>
    <w:p>
      <w:pPr>
        <w:spacing w:before="0" w:after="180" w:line="264" w:lineRule="auto"/>
        <w:ind w:firstLine="340"/>
        <w:jc w:val="both"/>
      </w:pPr>
      <w:r>
        <w:rPr>
          <w:rFonts w:ascii="Cambria" w:hAnsi="Cambria"/>
          <w:b w:val="0"/>
          <w:i w:val="0"/>
          <w:color w:val="141A21"/>
          <w:sz w:val="22"/>
        </w:rPr>
        <w:t>Le gérant doit être choisi parmi les associés exerçant leur profession libérale au sein de la société. Ce point est encore un peu archaïque ; en effet il ne permet pas à la société d’avoir à sa tête un dirigeant parfois issu d’une formation autre que celle exercée par la SEL. Imaginons une clinique regroupant plusieurs praticiens d’une même discipline voir multidisciplinaire (si cela est autorisée) et qui doit nommer un « médecin » à sa direction puisque c’est légal. Ce dirigeant n’ayant aucune notion de gestion, il s’embarque dans des stratégies qui peuvent mettre en péril l’établissement. Alors que dans cette clinique il y a Didier, directeur financier et administratif, qui alerte depuis plusieurs mois la direction et les associés sur la « piste difficile » emprunté par la direction. Ne faudrait il pas que Didier soit nommer « dirigeant » de la clinique et que les éminents docteurs soient en charge de l’organisation thérapeutique. Cette restriction de compétence établi certes par le législateur mais le plus souvent sous lobbying des professions réglementées pourrait être vue par les gens de l’extérieur comme un dernier bastion que les « vieux professionnels » veulent défendre. Bien sur il ne s’git pas de tomber dans l’extrême comme aux USA où certaines cliniques étant détenues par des financiers, les médecins ne peuvent plus travailler et diagnostiquer comme ils le veulent (un petit coucou au docteur HOUSSE) mais comme toujours il faut un juste milieu.</w:t>
      </w:r>
    </w:p>
    <w:p>
      <w:pPr>
        <w:spacing w:before="0" w:after="180" w:line="264" w:lineRule="auto"/>
        <w:ind w:firstLine="340"/>
        <w:jc w:val="both"/>
      </w:pPr>
      <w:r>
        <w:rPr>
          <w:rFonts w:ascii="Cambria" w:hAnsi="Cambria"/>
          <w:b w:val="0"/>
          <w:i w:val="0"/>
          <w:color w:val="141A21"/>
          <w:sz w:val="22"/>
        </w:rPr>
        <w:t>Le gérant minoritaire ou égalitaire est soumis au régime des "assimilés-salariés" et le gérant majoritaire est soumis au régime des travailleurs non salariés.et sa rémunération est quelle que soit sa part de capital soumise à l'impôt sur le revenu dans la catégorie des traitements et salaires.</w:t>
      </w:r>
    </w:p>
    <w:p>
      <w:pPr>
        <w:spacing w:before="0" w:after="180" w:line="264" w:lineRule="auto"/>
        <w:ind w:firstLine="340"/>
        <w:jc w:val="both"/>
      </w:pPr>
      <w:r>
        <w:rPr>
          <w:rFonts w:ascii="Cambria" w:hAnsi="Cambria"/>
          <w:b w:val="0"/>
          <w:i w:val="0"/>
          <w:color w:val="141A21"/>
          <w:sz w:val="22"/>
        </w:rPr>
        <w:t>La SELARL est soumise à l'impôt sur les société.une comptabilité doit être tenue et l'établissement d'un bilan et d'un compte de résultat est obligatoire.</w:t>
      </w:r>
    </w:p>
    <w:p>
      <w:pPr>
        <w:spacing w:before="0" w:after="180" w:line="264" w:lineRule="auto"/>
        <w:ind w:firstLine="340"/>
        <w:jc w:val="both"/>
      </w:pPr>
      <w:r>
        <w:rPr>
          <w:rFonts w:ascii="Cambria" w:hAnsi="Cambria"/>
          <w:b w:val="0"/>
          <w:i w:val="0"/>
          <w:color w:val="141A21"/>
          <w:sz w:val="22"/>
        </w:rPr>
        <w:t>La cession de parts sociales à des tiers est assujettie à un agrément qui doit être donné à la majorité des 3/4 des porteurs de parts sociales exerçant leur activité libérale au sein de la SELARL.</w:t>
      </w:r>
    </w:p>
    <w:p>
      <w:pPr>
        <w:spacing w:before="0" w:after="180" w:line="264" w:lineRule="auto"/>
        <w:ind w:firstLine="340"/>
        <w:jc w:val="both"/>
      </w:pPr>
      <w:r>
        <w:rPr>
          <w:rFonts w:ascii="Cambria" w:hAnsi="Cambria"/>
          <w:b w:val="0"/>
          <w:i w:val="0"/>
          <w:color w:val="141A21"/>
          <w:sz w:val="22"/>
        </w:rPr>
        <w:t>La Société Civile Professionnelle (SCP) : cette société permet à des personnes physiques d'exercer en commun une profession libérale réglementée, cela concerne les mêmes professions que pour la constitution de la SELARL.il doit y avoir 2 associés minimum et pas de limite au maximum, sauf si la profession limite le nombre d'associés. Aucun capital social minimum n'est exigé et les apports sont possibles en numéraires ou en nature (matériels, clientèle, etc.). Possibilité également de faire des apports en industrie dans la mesure où vous exercer dans la société ; cela ne vous donne pas de titres au capital mais vous donne droit au partage des bénéfices et à une participation aux décisions collectives.</w:t>
      </w:r>
    </w:p>
    <w:p>
      <w:pPr>
        <w:spacing w:before="0" w:after="180" w:line="264" w:lineRule="auto"/>
        <w:ind w:firstLine="340"/>
        <w:jc w:val="both"/>
      </w:pPr>
      <w:r>
        <w:rPr>
          <w:rFonts w:ascii="Cambria" w:hAnsi="Cambria"/>
          <w:b w:val="0"/>
          <w:i w:val="0"/>
          <w:color w:val="141A21"/>
          <w:sz w:val="22"/>
        </w:rPr>
        <w:t>Chaque membre reste indépendants, mais en tant qu'associé vous êtes indéfiniment responsable des dettes sociales à l'égard des tiers et répond sur son patrimoine personnel des actes professionnels qu'il accomplit, la SCP étant solidairement responsable avec lui des conséquences dommageable de ses actes. Ce point est primordial car le « praticien » est responsable sur ses biens de ses actes professionnels. Les gérants engagent également leur responsabilité civile et pénale. Le ou les dirigeants sont désignés dans les statuts ou par actes séparés. A défaut de désignation, tous les associés sont considérés comme gérant de ce fait le gérant doit être impérativement un associé. Les statuts déterminent les modalités d'exercice du mandat de gérant ainsi que les règles de gestion des assemblées (majorité requise, quorum). Les décisions collectives sont prises en assemblées.</w:t>
      </w:r>
    </w:p>
    <w:p>
      <w:pPr>
        <w:spacing w:before="0" w:after="180" w:line="264" w:lineRule="auto"/>
        <w:ind w:firstLine="340"/>
        <w:jc w:val="both"/>
      </w:pPr>
      <w:r>
        <w:rPr>
          <w:rFonts w:ascii="Cambria" w:hAnsi="Cambria"/>
          <w:b w:val="0"/>
          <w:i w:val="0"/>
          <w:color w:val="141A21"/>
          <w:sz w:val="22"/>
        </w:rPr>
        <w:t>En général la société n'est pas imposé, le bénéfice imposable est déterminé selon les règles applicables aux bénéfices non commerciaux (recettes encaissées et dépenses acquittées) et imposé chez l'associé dans la catégorie des bénéfices non commerciaux. Il est possible d'opter pour l'impôt sur la société de façon irrévocable, de ce fait la rémunération du gérant est déductible du résultat imposable et elle est imposable dans sa déclaration de revenu dans la catégorie des traitements et salaires. Les dividendes reçus seront eux imposables dans la catégorie des revenus des capitaux mobiliers.</w:t>
      </w:r>
    </w:p>
    <w:p>
      <w:pPr>
        <w:spacing w:before="0" w:after="180" w:line="264" w:lineRule="auto"/>
        <w:ind w:firstLine="340"/>
        <w:jc w:val="both"/>
      </w:pPr>
      <w:r>
        <w:rPr>
          <w:rFonts w:ascii="Cambria" w:hAnsi="Cambria"/>
          <w:b w:val="0"/>
          <w:i w:val="0"/>
          <w:color w:val="141A21"/>
          <w:sz w:val="22"/>
        </w:rPr>
        <w:t>Le gérant est en principe soumis au régime social des travailleurs non salariés. Il cotise sur la part des bénéfices de la société qui lui revient, augmenté éventuellement de sa rémunération de gérant. Si la société est soumise à l'impôt sur les sociétés, la part de dividende perçues par le gérant ou par son conjoint, son partenaire pacsé ou ses enfants mineurs est assujettie à cotisations sociales pour la fraction supérieure à 10% du capital social en proportion de la part qu'il détient, des primes d'émission et des sommes versées en compte courant.</w:t>
      </w:r>
    </w:p>
    <w:p>
      <w:pPr>
        <w:spacing w:before="0" w:after="180" w:line="264" w:lineRule="auto"/>
        <w:ind w:firstLine="340"/>
        <w:jc w:val="both"/>
      </w:pPr>
      <w:r>
        <w:rPr>
          <w:rFonts w:ascii="Cambria" w:hAnsi="Cambria"/>
          <w:b w:val="0"/>
          <w:i w:val="0"/>
          <w:color w:val="141A21"/>
          <w:sz w:val="22"/>
        </w:rPr>
        <w:t>Les parts sociales sont cessibles sauf celles reçues en contrepartie d'apports en industrie. Les droits d'enregistrement sont de 3% à la charge de l'acquéreur, le vendeur supportant la plus-value.</w:t>
      </w:r>
    </w:p>
    <w:p>
      <w:pPr>
        <w:spacing w:before="0" w:after="180" w:line="264" w:lineRule="auto"/>
        <w:ind w:firstLine="340"/>
        <w:jc w:val="both"/>
      </w:pPr>
      <w:r>
        <w:rPr>
          <w:rFonts w:ascii="Cambria" w:hAnsi="Cambria"/>
          <w:b w:val="0"/>
          <w:i w:val="0"/>
          <w:color w:val="141A21"/>
          <w:sz w:val="22"/>
        </w:rPr>
        <w:t>La Société en Nom Collectif (SNC) : cette société fonctionne par confiance puisque les associés sont solidairement et indéfiniment responsables des dettes de la SNC. Il convient d'être 23 associés au minimum et pas de limite au maximum, personnes physiques ou morales mais doivent être tous des commerçants. Les cessions de parts même entre associés sont soumises à l'unanimité. Le montant du capital social est libre et peut être constitué d'apports en numéraires, en nature ou en industrie. Si les statuts ne précisent rien, tous les associés ont la qualité de gérant, sinon leur nomination et leurs pouvoirs sont fixés par les statuts ou par un acte séparé. En tout état de cause il est préférable dans toutes les sociétés et dès que c’est possible, de nommer les dirigeants dans un acte séparé cela permet de faire des modifications de membre de la direction sans « remodifier » l’ensemble des statuts ; tout cela pour éviter des frais de rédaction juridique que vous prendrait votre avocat ou votre expert-comptable (eh tant puis pour moi je ferrai moins d’honoraires). Néanmoins un gérant non associé peut être désigné. Une personne morale peut également être gérant. Les gérants non associés encourent les mêmes responsabilités civiles et pénales mais ils ne sont pas responsables du passif social.</w:t>
      </w:r>
    </w:p>
    <w:p>
      <w:pPr>
        <w:spacing w:before="0" w:after="180" w:line="264" w:lineRule="auto"/>
        <w:ind w:firstLine="340"/>
        <w:jc w:val="both"/>
      </w:pPr>
      <w:r>
        <w:rPr>
          <w:rFonts w:ascii="Cambria" w:hAnsi="Cambria"/>
          <w:b w:val="0"/>
          <w:i w:val="0"/>
          <w:color w:val="141A21"/>
          <w:sz w:val="22"/>
        </w:rPr>
        <w:t>Cette structure est utilisée pour sa stabilité capitalistique et de direction. Cela peut être un inconvénient car la gestion capitaliste n'est pas libre et facile.</w:t>
      </w:r>
    </w:p>
    <w:p>
      <w:pPr>
        <w:spacing w:before="0" w:after="180" w:line="264" w:lineRule="auto"/>
        <w:ind w:firstLine="340"/>
        <w:jc w:val="both"/>
      </w:pPr>
      <w:r>
        <w:rPr>
          <w:rFonts w:ascii="Cambria" w:hAnsi="Cambria"/>
          <w:b w:val="0"/>
          <w:i w:val="0"/>
          <w:color w:val="141A21"/>
          <w:sz w:val="22"/>
        </w:rPr>
        <w:t>Les décisions sont prises à l'unanimité, sauf si les statuts en décident autrement, et une assemblée générale des associés se réunit au moins une fois par an. La révocation du gérant associé, les cessions de parts sociales et la transformation de la société en SAS doivent toujours être prises par une décision à l'unanimité de l'assemblée générale des associés.</w:t>
      </w:r>
    </w:p>
    <w:p>
      <w:pPr>
        <w:spacing w:before="0" w:after="180" w:line="264" w:lineRule="auto"/>
        <w:ind w:firstLine="340"/>
        <w:jc w:val="both"/>
      </w:pPr>
      <w:r>
        <w:rPr>
          <w:rFonts w:ascii="Cambria" w:hAnsi="Cambria"/>
          <w:b w:val="0"/>
          <w:i w:val="0"/>
          <w:color w:val="141A21"/>
          <w:sz w:val="22"/>
        </w:rPr>
        <w:t>Les associés, gérants ou non, sont commerçants et leurs rémunérations sont soumises au régime des travailleurs non salariés, la déduction forfaitaire de 10% ne peut pas s'appliquer mais les frais réels le peuvent. Leur rémunération n'est pas déductible fiscalement Ils doivent déclarés leur part de bénéfice (proportionnellement à sa part au capital) qu'elle lui soit versée ou non Les gérants non associés sont assimilés aux salariés et relèvent du régime général de la sécurité sociale. Les associés, gérants ou pas, ne sont pas couverts par une assurance chômage.</w:t>
      </w:r>
    </w:p>
    <w:p>
      <w:pPr>
        <w:spacing w:before="0" w:after="180" w:line="264" w:lineRule="auto"/>
        <w:ind w:firstLine="340"/>
        <w:jc w:val="both"/>
      </w:pPr>
      <w:r>
        <w:rPr>
          <w:rFonts w:ascii="Cambria" w:hAnsi="Cambria"/>
          <w:b w:val="0"/>
          <w:i w:val="0"/>
          <w:color w:val="141A21"/>
          <w:sz w:val="22"/>
        </w:rPr>
        <w:t>Aucune imposition pour la société de droit mais on peut opter irrévocablement pour l'impôt sur les sociétés. Si la société distribue des dividendes au gérant sa part ou celle de son conjoint, son partenaire pacsé ou ses enfants mineurs est assujettie à cotisations sociales pour la fraction supérieure à 10% du capital social, des primes d'émissions et des sommes versées au compte courant.</w:t>
      </w:r>
    </w:p>
    <w:p>
      <w:pPr>
        <w:spacing w:before="0" w:after="180" w:line="264" w:lineRule="auto"/>
        <w:ind w:firstLine="340"/>
        <w:jc w:val="both"/>
      </w:pPr>
      <w:r>
        <w:rPr>
          <w:rFonts w:ascii="Cambria" w:hAnsi="Cambria"/>
          <w:b w:val="0"/>
          <w:i w:val="0"/>
          <w:color w:val="141A21"/>
          <w:sz w:val="22"/>
        </w:rPr>
        <w:t>La SNC doit tenir une comptabilité commerciale classique en recettes, dépenses, livre de comptes et facturation.</w:t>
      </w:r>
    </w:p>
    <w:p>
      <w:pPr>
        <w:spacing w:before="0" w:after="180" w:line="264" w:lineRule="auto"/>
        <w:ind w:firstLine="340"/>
        <w:jc w:val="both"/>
      </w:pPr>
      <w:r>
        <w:rPr>
          <w:rFonts w:ascii="Cambria" w:hAnsi="Cambria"/>
          <w:b w:val="0"/>
          <w:i w:val="0"/>
          <w:color w:val="141A21"/>
          <w:sz w:val="22"/>
        </w:rPr>
        <w:t>Les cessions de parts sont décidées obligatoirement à l'unanimité des associés réunis en assemblée générale. Les droits d'enregistrement de 3% sont à la charge de l'acquéreur et la plus-value professionnelle est à la charge du vendeur.</w:t>
      </w:r>
    </w:p>
    <w:p>
      <w:r>
        <w:br w:type="page"/>
      </w:r>
    </w:p>
    <w:p>
      <w:pPr>
        <w:pStyle w:val="Heading2"/>
        <w:spacing w:before="240" w:after="200" w:line="276" w:lineRule="auto"/>
      </w:pPr>
      <w:r>
        <w:rPr>
          <w:rFonts w:ascii="Calibri" w:hAnsi="Calibri"/>
          <w:b/>
          <w:i w:val="0"/>
          <w:color w:val="3A5488"/>
          <w:sz w:val="36"/>
        </w:rPr>
        <w:t>Chapitre 12 — La société foncière : outil de gestion patrimoniale</w:t>
      </w:r>
    </w:p>
    <w:p>
      <w:pPr>
        <w:spacing w:before="0" w:after="180" w:line="264" w:lineRule="auto"/>
        <w:jc w:val="both"/>
      </w:pPr>
      <w:r>
        <w:rPr>
          <w:rFonts w:ascii="Cambria" w:hAnsi="Cambria"/>
          <w:b w:val="0"/>
          <w:i w:val="0"/>
          <w:color w:val="141A21"/>
          <w:sz w:val="22"/>
        </w:rPr>
        <w:t>Détention des biens immobiliers par la société,</w:t>
      </w:r>
    </w:p>
    <w:p>
      <w:pPr>
        <w:pStyle w:val="Heading3"/>
        <w:spacing w:before="400" w:after="100" w:line="276" w:lineRule="auto"/>
      </w:pPr>
      <w:r>
        <w:rPr>
          <w:rFonts w:ascii="Calibri" w:hAnsi="Calibri"/>
          <w:b/>
          <w:i w:val="0"/>
          <w:color w:val="141A21"/>
          <w:sz w:val="27"/>
        </w:rPr>
        <w:t>La société, enveloppe idéale du patrimoine immobilier</w:t>
      </w:r>
    </w:p>
    <w:p>
      <w:pPr>
        <w:spacing w:before="0" w:after="180" w:line="264" w:lineRule="auto"/>
        <w:jc w:val="both"/>
      </w:pPr>
      <w:r>
        <w:rPr>
          <w:rFonts w:ascii="Cambria" w:hAnsi="Cambria"/>
          <w:b w:val="0"/>
          <w:i w:val="0"/>
          <w:color w:val="141A21"/>
          <w:sz w:val="22"/>
        </w:rPr>
        <w:t>Après tous les éléments juridiques que vous venez de vous ingurgitez, vous comprenez que mon enveloppe juridique préférée pour développer son patrimoine immobilier est la SOCIETE.</w:t>
      </w:r>
    </w:p>
    <w:p>
      <w:pPr>
        <w:spacing w:before="0" w:after="180" w:line="264" w:lineRule="auto"/>
        <w:ind w:firstLine="340"/>
        <w:jc w:val="both"/>
      </w:pPr>
      <w:r>
        <w:rPr>
          <w:rFonts w:ascii="Cambria" w:hAnsi="Cambria"/>
          <w:b w:val="0"/>
          <w:i w:val="0"/>
          <w:color w:val="141A21"/>
          <w:sz w:val="22"/>
        </w:rPr>
        <w:t>Elle permet de réaliser des projets à plusieurs personnes ;</w:t>
      </w:r>
    </w:p>
    <w:p>
      <w:pPr>
        <w:spacing w:before="0" w:after="180" w:line="264" w:lineRule="auto"/>
        <w:ind w:firstLine="340"/>
        <w:jc w:val="both"/>
      </w:pPr>
      <w:r>
        <w:rPr>
          <w:rFonts w:ascii="Cambria" w:hAnsi="Cambria"/>
          <w:b w:val="0"/>
          <w:i w:val="0"/>
          <w:color w:val="141A21"/>
          <w:sz w:val="22"/>
        </w:rPr>
        <w:t>Elle permet de distribuer du pouvoir et des bénéfices proportionnellement à des valeurs que vous avez fixez ;</w:t>
      </w:r>
    </w:p>
    <w:p>
      <w:pPr>
        <w:spacing w:before="0" w:after="180" w:line="264" w:lineRule="auto"/>
        <w:ind w:firstLine="340"/>
        <w:jc w:val="both"/>
      </w:pPr>
      <w:r>
        <w:rPr>
          <w:rFonts w:ascii="Cambria" w:hAnsi="Cambria"/>
          <w:b w:val="0"/>
          <w:i w:val="0"/>
          <w:color w:val="141A21"/>
          <w:sz w:val="22"/>
        </w:rPr>
        <w:t>Elle permet de transmettre progressivement et au moment que vous aurez choisi ;</w:t>
      </w:r>
    </w:p>
    <w:p>
      <w:pPr>
        <w:spacing w:before="0" w:after="180" w:line="264" w:lineRule="auto"/>
        <w:ind w:firstLine="340"/>
        <w:jc w:val="both"/>
      </w:pPr>
      <w:r>
        <w:rPr>
          <w:rFonts w:ascii="Cambria" w:hAnsi="Cambria"/>
          <w:b w:val="0"/>
          <w:i w:val="0"/>
          <w:color w:val="141A21"/>
          <w:sz w:val="22"/>
        </w:rPr>
        <w:t>Afin bref elle permet de réaliser vos projets, dans le timing que vous souhaitez et au rythme que vous souhaitez en bénéficiant du régime fiscal qui vacille le moins au grès des lois de fiances depuis 20 ans.</w:t>
      </w:r>
    </w:p>
    <w:p>
      <w:pPr>
        <w:spacing w:before="0" w:after="180" w:line="264" w:lineRule="auto"/>
        <w:ind w:firstLine="340"/>
        <w:jc w:val="both"/>
      </w:pPr>
      <w:r>
        <w:rPr>
          <w:rFonts w:ascii="Cambria" w:hAnsi="Cambria"/>
          <w:b w:val="0"/>
          <w:i w:val="0"/>
          <w:color w:val="141A21"/>
          <w:sz w:val="22"/>
        </w:rPr>
        <w:t>Je ne peux que vous donner des exemples positifs :</w:t>
      </w:r>
    </w:p>
    <w:p>
      <w:pPr>
        <w:spacing w:before="0" w:after="180" w:line="264" w:lineRule="auto"/>
        <w:ind w:firstLine="340"/>
        <w:jc w:val="both"/>
      </w:pPr>
      <w:r>
        <w:rPr>
          <w:rFonts w:ascii="Cambria" w:hAnsi="Cambria"/>
          <w:b w:val="0"/>
          <w:i w:val="0"/>
          <w:color w:val="141A21"/>
          <w:sz w:val="22"/>
        </w:rPr>
        <w:t>Romain CAILLET et Sébastien ASCON, ont tous les deux démarré leur patrimoine immobilier en investissant en leur nom propre. Les deux se sont heurtés à un moment donné au refus des banques de vouloir financer leurs développements en nom propre pour des raisons les plus souvent légales de « surendettement ».</w:t>
      </w:r>
    </w:p>
    <w:p>
      <w:pPr>
        <w:spacing w:before="0" w:after="180" w:line="264" w:lineRule="auto"/>
        <w:ind w:firstLine="340"/>
        <w:jc w:val="both"/>
      </w:pPr>
      <w:r>
        <w:rPr>
          <w:rFonts w:ascii="Cambria" w:hAnsi="Cambria"/>
          <w:b w:val="0"/>
          <w:i w:val="0"/>
          <w:color w:val="141A21"/>
          <w:sz w:val="22"/>
        </w:rPr>
        <w:t>Nous avons réfléchi ensemble et la situation de la transformation de la détention du patrimoine immobilier de nom propre à la société a été validée.</w:t>
      </w:r>
    </w:p>
    <w:p>
      <w:pPr>
        <w:spacing w:before="0" w:after="180" w:line="264" w:lineRule="auto"/>
        <w:ind w:firstLine="340"/>
        <w:jc w:val="both"/>
      </w:pPr>
      <w:r>
        <w:rPr>
          <w:rFonts w:ascii="Cambria" w:hAnsi="Cambria"/>
          <w:b w:val="0"/>
          <w:i w:val="0"/>
          <w:color w:val="141A21"/>
          <w:sz w:val="22"/>
        </w:rPr>
        <w:t>D’ailleurs les deux ne se sont pas arrêtés là, ils ont crée une société holding détenant leurs sociétés immobilières. Nous verrons plus tard l’intérêt de ce montage.</w:t>
      </w:r>
    </w:p>
    <w:p>
      <w:pPr>
        <w:pStyle w:val="Heading3"/>
        <w:spacing w:before="400" w:after="100" w:line="276" w:lineRule="auto"/>
      </w:pPr>
      <w:r>
        <w:rPr>
          <w:rFonts w:ascii="Calibri" w:hAnsi="Calibri"/>
          <w:b/>
          <w:i w:val="0"/>
          <w:color w:val="141A21"/>
          <w:sz w:val="27"/>
        </w:rPr>
        <w:t>Transmission, garanties et plus-value : les atouts de la foncière</w:t>
      </w:r>
    </w:p>
    <w:p>
      <w:pPr>
        <w:spacing w:before="0" w:after="180" w:line="264" w:lineRule="auto"/>
        <w:jc w:val="both"/>
      </w:pPr>
      <w:r>
        <w:rPr>
          <w:rFonts w:ascii="Cambria" w:hAnsi="Cambria"/>
          <w:b w:val="0"/>
          <w:i w:val="0"/>
          <w:color w:val="141A21"/>
          <w:sz w:val="22"/>
        </w:rPr>
        <w:t>L’intérêt principal de cette foncière est que les biens immobiliers appartiennent à une personne morale qui a une durée de vie de 99 ans.</w:t>
      </w:r>
    </w:p>
    <w:p>
      <w:pPr>
        <w:spacing w:before="0" w:after="180" w:line="264" w:lineRule="auto"/>
        <w:ind w:firstLine="340"/>
        <w:jc w:val="both"/>
      </w:pPr>
      <w:r>
        <w:rPr>
          <w:rFonts w:ascii="Cambria" w:hAnsi="Cambria"/>
          <w:b w:val="0"/>
          <w:i w:val="0"/>
          <w:color w:val="141A21"/>
          <w:sz w:val="22"/>
        </w:rPr>
        <w:t>En cas de décès d’un des associés, même majoritaire, il n’y a pas de passage devant le notaire et donc de frais à payer, pour effectuer la mutation du propriétaire sur le registre de hypothèques.</w:t>
      </w:r>
    </w:p>
    <w:p>
      <w:pPr>
        <w:spacing w:before="0" w:after="180" w:line="264" w:lineRule="auto"/>
        <w:ind w:firstLine="340"/>
        <w:jc w:val="both"/>
      </w:pPr>
      <w:r>
        <w:rPr>
          <w:rFonts w:ascii="Cambria" w:hAnsi="Cambria"/>
          <w:b w:val="0"/>
          <w:i w:val="0"/>
          <w:color w:val="141A21"/>
          <w:sz w:val="22"/>
        </w:rPr>
        <w:t>Seuls les droits de succession sur les titres seront à régler.</w:t>
      </w:r>
    </w:p>
    <w:p>
      <w:pPr>
        <w:spacing w:before="0" w:after="180" w:line="264" w:lineRule="auto"/>
        <w:ind w:firstLine="340"/>
        <w:jc w:val="both"/>
      </w:pPr>
      <w:r>
        <w:rPr>
          <w:rFonts w:ascii="Cambria" w:hAnsi="Cambria"/>
          <w:b w:val="0"/>
          <w:i w:val="0"/>
          <w:color w:val="141A21"/>
          <w:sz w:val="22"/>
        </w:rPr>
        <w:t>Plus votre société foncière possèdera de biens immobiliers et plus elle aura d'intérêt car des garanties réelle pour les banquiers.</w:t>
      </w:r>
    </w:p>
    <w:p>
      <w:pPr>
        <w:spacing w:before="0" w:after="180" w:line="264" w:lineRule="auto"/>
        <w:ind w:firstLine="340"/>
        <w:jc w:val="both"/>
      </w:pPr>
      <w:r>
        <w:rPr>
          <w:rFonts w:ascii="Cambria" w:hAnsi="Cambria"/>
          <w:b w:val="0"/>
          <w:i w:val="0"/>
          <w:color w:val="141A21"/>
          <w:sz w:val="22"/>
        </w:rPr>
        <w:t>Alors bien sûr j'entend des messages comme "et quand on vend les biens immobiliers, on paye la plus-value plein pot !". D'accord c'est vrai que la plus-value pour des sociétés à l'IS est plus importante car à la différence du régime des LMNP, il convient de prendre en compte les amortissements déjà pratiqués. Mais je rajoute que le régime de l'IS bénéficie d'un calcul global de la plus-value car la vente des biens immobiliers entre dans la détermination du résultat fiscal de l'exercice, alors que la cession de biens immobiliers en nom propre se réalise "bien par bien".</w:t>
      </w:r>
    </w:p>
    <w:p>
      <w:pPr>
        <w:spacing w:before="0" w:after="180" w:line="264" w:lineRule="auto"/>
        <w:ind w:firstLine="340"/>
        <w:jc w:val="both"/>
      </w:pPr>
      <w:r>
        <w:rPr>
          <w:rFonts w:ascii="Cambria" w:hAnsi="Cambria"/>
          <w:b w:val="0"/>
          <w:i w:val="0"/>
          <w:color w:val="141A21"/>
          <w:sz w:val="22"/>
        </w:rPr>
        <w:t>Prenons un exemple :</w:t>
      </w:r>
    </w:p>
    <w:p>
      <w:pPr>
        <w:spacing w:before="0" w:after="180" w:line="264" w:lineRule="auto"/>
        <w:ind w:firstLine="340"/>
        <w:jc w:val="both"/>
      </w:pPr>
      <w:r>
        <w:rPr>
          <w:rFonts w:ascii="Cambria" w:hAnsi="Cambria"/>
          <w:b w:val="0"/>
          <w:i w:val="0"/>
          <w:color w:val="141A21"/>
          <w:sz w:val="22"/>
        </w:rPr>
        <w:t>Le même jour vous cédez 2 biens immobiliers devant votre notaire.</w:t>
      </w:r>
    </w:p>
    <w:p>
      <w:pPr>
        <w:spacing w:before="0" w:after="180" w:line="264" w:lineRule="auto"/>
        <w:ind w:firstLine="340"/>
        <w:jc w:val="both"/>
      </w:pPr>
      <w:r>
        <w:rPr>
          <w:rFonts w:ascii="Cambria" w:hAnsi="Cambria"/>
          <w:b w:val="0"/>
          <w:i w:val="0"/>
          <w:color w:val="141A21"/>
          <w:sz w:val="22"/>
        </w:rPr>
        <w:t>Le bien 1 génère une plus-value de 50.000€ ,</w:t>
      </w:r>
    </w:p>
    <w:p>
      <w:pPr>
        <w:spacing w:before="0" w:after="180" w:line="264" w:lineRule="auto"/>
        <w:ind w:firstLine="340"/>
        <w:jc w:val="both"/>
      </w:pPr>
      <w:r>
        <w:rPr>
          <w:rFonts w:ascii="Cambria" w:hAnsi="Cambria"/>
          <w:b w:val="0"/>
          <w:i w:val="0"/>
          <w:color w:val="141A21"/>
          <w:sz w:val="22"/>
        </w:rPr>
        <w:t>Le bien 2 génère une moins value de 30.000€.</w:t>
      </w:r>
    </w:p>
    <w:p>
      <w:pPr>
        <w:spacing w:before="0" w:after="180" w:line="264" w:lineRule="auto"/>
        <w:ind w:firstLine="340"/>
        <w:jc w:val="both"/>
      </w:pPr>
      <w:r>
        <w:rPr>
          <w:rFonts w:ascii="Cambria" w:hAnsi="Cambria"/>
          <w:b w:val="0"/>
          <w:i w:val="0"/>
          <w:color w:val="141A21"/>
          <w:sz w:val="22"/>
        </w:rPr>
        <w:t>Dans le cas de la cession en nom propre, le notaire va calculer la plus-value sur la base de 50K€, alors que dans le cas de la société soumise à l'IS, votre expert-comptable va prendre en compte le produit de 50K€ mais également la perte de 30K€.</w:t>
      </w:r>
    </w:p>
    <w:p>
      <w:pPr>
        <w:spacing w:before="0" w:after="180" w:line="264" w:lineRule="auto"/>
        <w:ind w:firstLine="340"/>
        <w:jc w:val="both"/>
      </w:pPr>
      <w:r>
        <w:rPr>
          <w:rFonts w:ascii="Cambria" w:hAnsi="Cambria"/>
          <w:b w:val="0"/>
          <w:i w:val="0"/>
          <w:color w:val="141A21"/>
          <w:sz w:val="22"/>
        </w:rPr>
        <w:t>L’exemple de la famille DE ROTCHILDT en est une illustration conforme. Nous en parlons plus tard.</w:t>
      </w:r>
    </w:p>
    <w:p>
      <w:r>
        <w:br w:type="page"/>
      </w:r>
    </w:p>
    <w:p>
      <w:pPr>
        <w:pStyle w:val="Heading2"/>
        <w:spacing w:before="240" w:after="200" w:line="276" w:lineRule="auto"/>
      </w:pPr>
      <w:r>
        <w:rPr>
          <w:rFonts w:ascii="Calibri" w:hAnsi="Calibri"/>
          <w:b/>
          <w:i w:val="0"/>
          <w:color w:val="3A5488"/>
          <w:sz w:val="36"/>
        </w:rPr>
        <w:t>Chapitre 13 — La société pour l'entreprenariat</w:t>
      </w:r>
    </w:p>
    <w:p>
      <w:pPr>
        <w:spacing w:before="0" w:after="180" w:line="264" w:lineRule="auto"/>
        <w:jc w:val="both"/>
      </w:pPr>
      <w:r>
        <w:rPr>
          <w:rFonts w:ascii="Cambria" w:hAnsi="Cambria"/>
          <w:b w:val="0"/>
          <w:i w:val="0"/>
          <w:color w:val="141A21"/>
          <w:sz w:val="22"/>
        </w:rPr>
        <w:t>Vous l’avez déjà bien compris, il me semble que la structure juridique de la société est bien la plus adaptée en général pour développer votre business avec son impôt (IS) que l’entreprise individuelle soumise à l’impôt sur le revenu.</w:t>
      </w:r>
    </w:p>
    <w:p>
      <w:pPr>
        <w:spacing w:before="0" w:after="180" w:line="264" w:lineRule="auto"/>
        <w:ind w:firstLine="340"/>
        <w:jc w:val="both"/>
      </w:pPr>
      <w:r>
        <w:rPr>
          <w:rFonts w:ascii="Cambria" w:hAnsi="Cambria"/>
          <w:b w:val="0"/>
          <w:i w:val="0"/>
          <w:color w:val="141A21"/>
          <w:sz w:val="22"/>
        </w:rPr>
        <w:t>Néanmoins il ne faut pas s’arque-bouter sur des théories figées, chaque cas est unique.</w:t>
      </w:r>
    </w:p>
    <w:p>
      <w:pPr>
        <w:spacing w:before="0" w:after="180" w:line="264" w:lineRule="auto"/>
        <w:ind w:firstLine="340"/>
        <w:jc w:val="both"/>
      </w:pPr>
      <w:r>
        <w:rPr>
          <w:rFonts w:ascii="Cambria" w:hAnsi="Cambria"/>
          <w:b w:val="0"/>
          <w:i w:val="0"/>
          <w:color w:val="141A21"/>
          <w:sz w:val="22"/>
        </w:rPr>
        <w:t>Le choix juridique doit permettre à l’entrepreneur de se développer et donc de croitre. Si dès le début il est retenu la création d’une société il faut savoir que ce choix est plus couteux lors de la constitution et de la gestion administrative et comptable que l’entreprise individuelle. En effet une société ayant sa propre personnalité juridique (personne morale) elle est propriétaire de ses biens, de son actif et aussi de ses dettes donc de son passif. Ces éléments ne sont pas « confondus » avec ceux des associés, la plupart du temps, donc l’établissement de la comptabilité est plus subtile que pour une entreprise individuelle ;</w:t>
      </w:r>
    </w:p>
    <w:p>
      <w:pPr>
        <w:spacing w:before="0" w:after="180" w:line="264" w:lineRule="auto"/>
        <w:ind w:firstLine="340"/>
        <w:jc w:val="both"/>
      </w:pPr>
      <w:r>
        <w:rPr>
          <w:rFonts w:ascii="Cambria" w:hAnsi="Cambria"/>
          <w:b w:val="0"/>
          <w:i w:val="0"/>
          <w:color w:val="141A21"/>
          <w:sz w:val="22"/>
        </w:rPr>
        <w:t>Prenons un exemple : vous allez dans une boulangerie pour acheter un gâteau pour vos invités du soir (ca c’est mon coté gourmand), au moment de payer vous constatez que vous n’avez pas de moyens de paiement personnels mais seulement la carte bancaire de votre entreprise. Vous décidez de régler vos achats avec ce mode de paiement.</w:t>
      </w:r>
    </w:p>
    <w:p>
      <w:pPr>
        <w:spacing w:before="0" w:after="180" w:line="264" w:lineRule="auto"/>
        <w:ind w:firstLine="340"/>
        <w:jc w:val="both"/>
      </w:pPr>
      <w:r>
        <w:rPr>
          <w:rFonts w:ascii="Cambria" w:hAnsi="Cambria"/>
          <w:b w:val="0"/>
          <w:i w:val="0"/>
          <w:color w:val="141A21"/>
          <w:sz w:val="22"/>
        </w:rPr>
        <w:t>Si vous exercez en entreprise individuelle, cette situation sera retracée dans votre comptabilité par une écriture dans le journal de banque en imputant votre compte d’exploitant (d’après le plan comptable le numéro 108) en stipulant dans le libellé « paiement personnel » et l’affaire est classée.</w:t>
      </w:r>
    </w:p>
    <w:p>
      <w:pPr>
        <w:spacing w:before="0" w:after="180" w:line="264" w:lineRule="auto"/>
        <w:ind w:firstLine="340"/>
        <w:jc w:val="both"/>
      </w:pPr>
      <w:r>
        <w:rPr>
          <w:rFonts w:ascii="Cambria" w:hAnsi="Cambria"/>
          <w:b w:val="0"/>
          <w:i w:val="0"/>
          <w:color w:val="141A21"/>
          <w:sz w:val="22"/>
        </w:rPr>
        <w:t>Si vous exercez en société, cette même situation sera retranscrite dans le compte 455, soit compte courant d’associé. Ce qui veut dire que vous devrez « rembourser » cette opération à votre société par l’établissement d’un chèque à son ordre ou d’effectuer un virement. Bien sur il peut arriver qu’antérieurement vous ayez « réglé » des achats avec vos deniers personnels pour le compte de votre société et dans ce cas il y aura une compensation entre ces deux opérations.</w:t>
      </w:r>
    </w:p>
    <w:p>
      <w:pPr>
        <w:spacing w:before="0" w:after="180" w:line="264" w:lineRule="auto"/>
        <w:ind w:firstLine="340"/>
        <w:jc w:val="both"/>
      </w:pPr>
      <w:r>
        <w:rPr>
          <w:rFonts w:ascii="Cambria" w:hAnsi="Cambria"/>
          <w:b w:val="0"/>
          <w:i w:val="0"/>
          <w:color w:val="141A21"/>
          <w:sz w:val="22"/>
        </w:rPr>
        <w:t>L’important c’est que vous ne soyez jamais redevable auprès de votre société sinon vous serez en situation de compte courant « débiteur » et en infraction avec le code.</w:t>
      </w:r>
    </w:p>
    <w:p>
      <w:pPr>
        <w:spacing w:before="0" w:after="180" w:line="264" w:lineRule="auto"/>
        <w:ind w:firstLine="340"/>
        <w:jc w:val="both"/>
      </w:pPr>
      <w:r>
        <w:rPr>
          <w:rFonts w:ascii="Cambria" w:hAnsi="Cambria"/>
          <w:b w:val="0"/>
          <w:i w:val="0"/>
          <w:color w:val="141A21"/>
          <w:sz w:val="22"/>
        </w:rPr>
        <w:t>Comme nous l’avons vu il existe 2 formes de sociétés : les sociétés civiles et les sociétés commerciales.</w:t>
      </w:r>
    </w:p>
    <w:p>
      <w:pPr>
        <w:spacing w:before="0" w:after="180" w:line="264" w:lineRule="auto"/>
        <w:ind w:firstLine="340"/>
        <w:jc w:val="both"/>
      </w:pPr>
      <w:r>
        <w:rPr>
          <w:rFonts w:ascii="Cambria" w:hAnsi="Cambria"/>
          <w:b w:val="0"/>
          <w:i w:val="0"/>
          <w:color w:val="141A21"/>
          <w:sz w:val="22"/>
        </w:rPr>
        <w:t>Comme nous parlons d’entrepreneuriat nous allons plutôt développer les sociétés commerciales dont les plus connues sont : la SARL, la SAS et la SA.</w:t>
      </w:r>
    </w:p>
    <w:p>
      <w:pPr>
        <w:spacing w:before="0" w:after="180" w:line="264" w:lineRule="auto"/>
        <w:ind w:firstLine="340"/>
        <w:jc w:val="both"/>
      </w:pPr>
      <w:r>
        <w:rPr>
          <w:rFonts w:ascii="Cambria" w:hAnsi="Cambria"/>
          <w:b w:val="0"/>
          <w:i w:val="0"/>
          <w:color w:val="141A21"/>
          <w:sz w:val="22"/>
        </w:rPr>
        <w:t>Comme nous l’avons vu dans le paragraphe précédent ces structures ont des obligations juridiques différentes même si parfois la différence est minime pour un non initié, mais si le droit a prévu ses différences c’est que cela peut être important de les connaitre pour savoir gérer les conséquences.</w:t>
      </w:r>
    </w:p>
    <w:p>
      <w:pPr>
        <w:pStyle w:val="Heading3"/>
        <w:spacing w:before="400" w:after="100" w:line="276" w:lineRule="auto"/>
      </w:pPr>
      <w:r>
        <w:rPr>
          <w:rFonts w:ascii="Calibri" w:hAnsi="Calibri"/>
          <w:b/>
          <w:i w:val="0"/>
          <w:color w:val="141A21"/>
          <w:sz w:val="27"/>
        </w:rPr>
        <w:t>Les différents régimes de protection sociale</w:t>
      </w:r>
    </w:p>
    <w:p>
      <w:pPr>
        <w:spacing w:before="0" w:after="180" w:line="264" w:lineRule="auto"/>
        <w:jc w:val="both"/>
      </w:pPr>
      <w:r>
        <w:rPr>
          <w:rFonts w:ascii="Cambria" w:hAnsi="Cambria"/>
          <w:b w:val="0"/>
          <w:i w:val="0"/>
          <w:color w:val="141A21"/>
          <w:sz w:val="22"/>
        </w:rPr>
        <w:t>Les différents régimes de protection socialeProtection maladie</w:t>
      </w:r>
    </w:p>
    <w:p>
      <w:pPr>
        <w:spacing w:before="0" w:after="180" w:line="264" w:lineRule="auto"/>
        <w:ind w:firstLine="340"/>
        <w:jc w:val="both"/>
      </w:pPr>
      <w:r>
        <w:rPr>
          <w:rFonts w:ascii="Cambria" w:hAnsi="Cambria"/>
          <w:b w:val="0"/>
          <w:i w:val="0"/>
          <w:color w:val="141A21"/>
          <w:sz w:val="22"/>
        </w:rPr>
        <w:t>RetraiteProtection complémentaire</w:t>
      </w:r>
    </w:p>
    <w:p>
      <w:pPr>
        <w:spacing w:before="0" w:after="180" w:line="264" w:lineRule="auto"/>
        <w:ind w:firstLine="340"/>
        <w:jc w:val="both"/>
      </w:pPr>
      <w:r>
        <w:rPr>
          <w:rFonts w:ascii="Cambria" w:hAnsi="Cambria"/>
          <w:b w:val="0"/>
          <w:i w:val="0"/>
          <w:color w:val="141A21"/>
          <w:sz w:val="22"/>
        </w:rPr>
        <w:t>En cas d’accident ? Expliquer ce qu’un dirigeant doit anticiper</w:t>
      </w:r>
    </w:p>
    <w:p>
      <w:pPr>
        <w:pStyle w:val="Heading3"/>
        <w:spacing w:before="400" w:after="100" w:line="276" w:lineRule="auto"/>
      </w:pPr>
      <w:r>
        <w:rPr>
          <w:rFonts w:ascii="Calibri" w:hAnsi="Calibri"/>
          <w:b/>
          <w:i w:val="0"/>
          <w:color w:val="141A21"/>
          <w:sz w:val="27"/>
        </w:rPr>
        <w:t>Quand faut-il créer une société ? La notion de salaire alimentaire</w:t>
      </w:r>
    </w:p>
    <w:p>
      <w:pPr>
        <w:spacing w:before="0" w:after="180" w:line="264" w:lineRule="auto"/>
        <w:jc w:val="both"/>
      </w:pPr>
      <w:r>
        <w:rPr>
          <w:rFonts w:ascii="Cambria" w:hAnsi="Cambria"/>
          <w:b w:val="0"/>
          <w:i w:val="0"/>
          <w:color w:val="141A21"/>
          <w:sz w:val="22"/>
        </w:rPr>
        <w:t>Fiscalement : quand faire une société ? A partir de quelle TMI ? La notion de salaire alimentaire est-elle adaptée à tous ? (non : dire à partir de quelle TMI il est nécessaire de faire une société)</w:t>
      </w:r>
    </w:p>
    <w:p>
      <w:pPr>
        <w:spacing w:before="0" w:after="180" w:line="264" w:lineRule="auto"/>
        <w:ind w:firstLine="340"/>
        <w:jc w:val="both"/>
      </w:pPr>
      <w:r>
        <w:rPr>
          <w:rFonts w:ascii="Cambria" w:hAnsi="Cambria"/>
          <w:b w:val="0"/>
          <w:i w:val="0"/>
          <w:color w:val="141A21"/>
          <w:sz w:val="22"/>
        </w:rPr>
        <w:t>Alors maintenant que nous avons exposé le rôle et l’avantage de la société il faut déterminer quand vous devez la créer.</w:t>
      </w:r>
    </w:p>
    <w:p>
      <w:pPr>
        <w:spacing w:before="0" w:after="180" w:line="264" w:lineRule="auto"/>
        <w:ind w:firstLine="340"/>
        <w:jc w:val="both"/>
      </w:pPr>
      <w:r>
        <w:rPr>
          <w:rFonts w:ascii="Cambria" w:hAnsi="Cambria"/>
          <w:b w:val="0"/>
          <w:i w:val="0"/>
          <w:color w:val="141A21"/>
          <w:sz w:val="22"/>
        </w:rPr>
        <w:t>Certains veulent savoir s’il y a des repères, des paliers, des alertes en fait qui une fois dépassés doivent clignoter en rouge devant vos yeux pour vous indiquer « c’est bon, demain je prends rendez vous chez mon avocat ou mon expert-comptable ».</w:t>
      </w:r>
    </w:p>
    <w:p>
      <w:pPr>
        <w:spacing w:before="0" w:after="180" w:line="264" w:lineRule="auto"/>
        <w:ind w:firstLine="340"/>
        <w:jc w:val="both"/>
      </w:pPr>
      <w:r>
        <w:rPr>
          <w:rFonts w:ascii="Cambria" w:hAnsi="Cambria"/>
          <w:b w:val="0"/>
          <w:i w:val="0"/>
          <w:color w:val="141A21"/>
          <w:sz w:val="22"/>
        </w:rPr>
        <w:t>Je ne suis pas sur qu’il y a des ce genre de paramètres ?</w:t>
      </w:r>
    </w:p>
    <w:p>
      <w:pPr>
        <w:spacing w:before="0" w:after="180" w:line="264" w:lineRule="auto"/>
        <w:ind w:firstLine="340"/>
        <w:jc w:val="both"/>
      </w:pPr>
      <w:r>
        <w:rPr>
          <w:rFonts w:ascii="Cambria" w:hAnsi="Cambria"/>
          <w:b w:val="0"/>
          <w:i w:val="0"/>
          <w:color w:val="141A21"/>
          <w:sz w:val="22"/>
        </w:rPr>
        <w:t>Pour ma part j’ai créé ma première société non pas pour payer moins d’impôts mais pour construire quelques chose et pouvoir l’utiliser dans le temps sans me préoccuper des revenus de mon foyer fiscal, car pour environ 60% d’entre nous, notre déclaration d’impôts sur le revenu est pour l’ensemble de notre famille.</w:t>
      </w:r>
    </w:p>
    <w:p>
      <w:pPr>
        <w:spacing w:before="0" w:after="180" w:line="264" w:lineRule="auto"/>
        <w:ind w:firstLine="340"/>
        <w:jc w:val="both"/>
      </w:pPr>
      <w:r>
        <w:rPr>
          <w:rFonts w:ascii="Cambria" w:hAnsi="Cambria"/>
          <w:b w:val="0"/>
          <w:i w:val="0"/>
          <w:color w:val="141A21"/>
          <w:sz w:val="22"/>
        </w:rPr>
        <w:t>Une étude sociologique a démontré il y a plusieurs années que lorsqu’un salarié se voit gratifier d’une prime exceptionnelle par son employeur car il a « bien travaillé », la plupart des gens utilise cet excédent de trésorerie pour se faire plaisir, en invitant son conjoint ou des amis au restaurant, en se payant une nouvelle télévision ou un nouveau téléphone, mais rarement cette prime est « épargnée » pour l’investir. Cette situation est presque humaine, on a beaucoup travaillé notre employeur nous remercie en versant une prime et bien on est content et de ce fait notre cerveau nous autorise à nous faire plaisir (il y a plein de bouquins sur cet état d’âme). En 25 ans d’expérience je n’ai jamais rencontré un salarié qui demandait à son employeur de surtout de ne pas lui accorder de prime salariale car cela allait lui augmenter ses impôts sur le revenu.</w:t>
      </w:r>
    </w:p>
    <w:p>
      <w:pPr>
        <w:spacing w:before="0" w:after="180" w:line="264" w:lineRule="auto"/>
        <w:ind w:firstLine="340"/>
        <w:jc w:val="both"/>
      </w:pPr>
      <w:r>
        <w:rPr>
          <w:rFonts w:ascii="Cambria" w:hAnsi="Cambria"/>
          <w:b w:val="0"/>
          <w:i w:val="0"/>
          <w:color w:val="141A21"/>
          <w:sz w:val="22"/>
        </w:rPr>
        <w:t>La vérité, comme commence souvent toute les phrases de mon ami marc, c’est qu’une nouvelle fois il n’y a pas de barème fixe, prédéfini pour nous tous. La majorité de mes clients entrepreneurs individuels qui viennent me consulter, me demande de les assister dans la création de leur nouvelle société pour changer de régime fiscal et ne plus être autant imposé à l’impôt sur le revenu. Comme nous l’avons vu précédemment, l’impôt sur le revenu est calculé en multipliant ses revenus découpés en tranche avec des taux différents pour chaque tranche. Ce qui est sur c’est que (pour plagier un slogan très connu) « 100% de mes clients qui viennent en consultation ont atteints la tranche marginale d’imposition irraisonnable à leurs yeux. »</w:t>
      </w:r>
    </w:p>
    <w:p>
      <w:pPr>
        <w:spacing w:before="0" w:after="180" w:line="264" w:lineRule="auto"/>
        <w:ind w:firstLine="340"/>
        <w:jc w:val="both"/>
      </w:pPr>
      <w:r>
        <w:rPr>
          <w:rFonts w:ascii="Cambria" w:hAnsi="Cambria"/>
          <w:b w:val="0"/>
          <w:i w:val="0"/>
          <w:color w:val="141A21"/>
          <w:sz w:val="22"/>
        </w:rPr>
        <w:t>A mon avis il n’y a pas de tranche marginale d’imposition qui fait basculer l’entrepreneur du monde de l’IR à l’IS ; ma notion est liée à ce que j’appelle le SALAIRE ALIMENTAIRE. Ce salaire alimentaire est déterminé par la somme d’argent que vous avez besoin pour assouvir vos besoins primaires : se loger, se nourrir et se vêtir. Les autres dépenses sont superflues.</w:t>
      </w:r>
    </w:p>
    <w:p>
      <w:pPr>
        <w:spacing w:before="0" w:after="180" w:line="264" w:lineRule="auto"/>
        <w:ind w:firstLine="340"/>
        <w:jc w:val="both"/>
      </w:pPr>
      <w:r>
        <w:rPr>
          <w:rFonts w:ascii="Cambria" w:hAnsi="Cambria"/>
          <w:b w:val="0"/>
          <w:i w:val="0"/>
          <w:color w:val="141A21"/>
          <w:sz w:val="22"/>
        </w:rPr>
        <w:t>Cette notion est primordiale et c’est grâce à elle que j’ai déterminé le TRIANGLE MAGIQUE que nous verrons plus tard.</w:t>
      </w:r>
    </w:p>
    <w:p>
      <w:pPr>
        <w:spacing w:before="0" w:after="180" w:line="264" w:lineRule="auto"/>
        <w:ind w:firstLine="340"/>
        <w:jc w:val="both"/>
      </w:pPr>
      <w:r>
        <w:rPr>
          <w:rFonts w:ascii="Cambria" w:hAnsi="Cambria"/>
          <w:b w:val="0"/>
          <w:i w:val="0"/>
          <w:color w:val="141A21"/>
          <w:sz w:val="22"/>
        </w:rPr>
        <w:t>Prenons par exemple un célibataire qui est locataire de son habitation principale , aura besoin de prévoir une rémunération lui permettant de couvrir son alimentation et son logement ; la même personne vit en couple avec un conjoint qui est salarié dans une entreprise « étrangère à votre environnement familial » (entreprise pour laquelle vous n’avez aucun lien direct ou indirecte avec le capital social), et que son conjoint peut par sa rémunération couvrir les charges de loyers, notre récipiendaire estimera un salaire alimentaire plus faible.</w:t>
      </w:r>
    </w:p>
    <w:p>
      <w:pPr>
        <w:spacing w:before="0" w:after="180" w:line="264" w:lineRule="auto"/>
        <w:ind w:firstLine="340"/>
        <w:jc w:val="both"/>
      </w:pPr>
      <w:r>
        <w:rPr>
          <w:rFonts w:ascii="Cambria" w:hAnsi="Cambria"/>
          <w:b w:val="0"/>
          <w:i w:val="0"/>
          <w:color w:val="141A21"/>
          <w:sz w:val="22"/>
        </w:rPr>
        <w:t>Notre principale réflexion tourne autour de vous ENTREPRENEUR car vous êtes à la tête de votre entreprise et si vous êtes en train de lire ce chapitre c’est que vous avez créé votre société à l’IS et vous vous demander si vous devez prendre un salaire et à quelle hauteur ou des dividendes.</w:t>
      </w:r>
    </w:p>
    <w:p>
      <w:pPr>
        <w:spacing w:before="0" w:after="180" w:line="264" w:lineRule="auto"/>
        <w:ind w:firstLine="340"/>
        <w:jc w:val="both"/>
      </w:pPr>
      <w:r>
        <w:rPr>
          <w:rFonts w:ascii="Cambria" w:hAnsi="Cambria"/>
          <w:b w:val="0"/>
          <w:i w:val="0"/>
          <w:color w:val="141A21"/>
          <w:sz w:val="22"/>
        </w:rPr>
        <w:t>L’avantage quand vous êtes votre propre « patron » c’est que c’est vous qui fixez votre salaire. Le salaire alimentaire et rien de plus pour éviter de régler de l’impôt sur le revenu sur des sommes que nous n’avons pas besoin à titre personnel. Et la je vois bien que vous vous dites que je déconne, comment peut il dire que je n’ai pas besoin d’argent. Ma réflexion vient toujours de mon expérience avec mes clients. J’ai pu constater que certains ENTREPRENEURS qui prenaient des salaires importants pour subvenir à leurs besoins primaires et qui investissaient dans de l’immobilier pour placer leur excédent de salaire, payaient des impôts importants puisque et c’est normal ils avaient des fortes rémunérations. Mon assistance à leur égard les a amenés à diminuer leur rémunération salariale juste au niveau nécessaire à leurs besoins primaires, salaire alimentaire, et nous avons créer de nouvelles structures juridique pour investir dans l’immobilier, nous verrons cela plus tard.</w:t>
      </w:r>
    </w:p>
    <w:p>
      <w:pPr>
        <w:spacing w:before="0" w:after="180" w:line="264" w:lineRule="auto"/>
        <w:ind w:firstLine="340"/>
        <w:jc w:val="both"/>
      </w:pPr>
      <w:r>
        <w:rPr>
          <w:rFonts w:ascii="Cambria" w:hAnsi="Cambria"/>
          <w:b w:val="0"/>
          <w:i w:val="0"/>
          <w:color w:val="141A21"/>
          <w:sz w:val="22"/>
        </w:rPr>
        <w:t>La conclusion a cela c’est qu’il n’y a pas de tranche marginale d’imposition prédéfinie qui doit vous faire basculer dans le monde de la société à l’IS il n’y a que du bon sens et des calculs à faire avec votre expert-comptable.</w:t>
      </w:r>
    </w:p>
    <w:p>
      <w:pPr>
        <w:spacing w:before="0" w:after="180" w:line="264" w:lineRule="auto"/>
        <w:ind w:firstLine="340"/>
        <w:jc w:val="both"/>
      </w:pPr>
      <w:r>
        <w:rPr>
          <w:rFonts w:ascii="Cambria" w:hAnsi="Cambria"/>
          <w:b w:val="0"/>
          <w:i w:val="0"/>
          <w:color w:val="141A21"/>
          <w:sz w:val="22"/>
        </w:rPr>
        <w:t>Nous pouvons aussi corser la réflexion en prévoyant des avantages en nature logement et véhicule qui ferrons baissés vos besoin de trésorerie personnelle donc votre salaire alimentaire.</w:t>
      </w:r>
    </w:p>
    <w:p>
      <w:pPr>
        <w:spacing w:before="0" w:after="180" w:line="264" w:lineRule="auto"/>
        <w:ind w:firstLine="340"/>
        <w:jc w:val="both"/>
      </w:pPr>
      <w:r>
        <w:rPr>
          <w:rFonts w:ascii="Cambria" w:hAnsi="Cambria"/>
          <w:b w:val="0"/>
          <w:i w:val="0"/>
          <w:color w:val="141A21"/>
          <w:sz w:val="22"/>
        </w:rPr>
        <w:t>Vous voyez rien n’est définitif, c’est la joie de l’ENTREPRENEUR toujours s’adapter aux aléas de notre environnement.</w:t>
      </w:r>
    </w:p>
    <w:p>
      <w:pPr>
        <w:pStyle w:val="Heading3"/>
        <w:spacing w:before="400" w:after="100" w:line="276" w:lineRule="auto"/>
      </w:pPr>
      <w:r>
        <w:rPr>
          <w:rFonts w:ascii="Calibri" w:hAnsi="Calibri"/>
          <w:b/>
          <w:i w:val="0"/>
          <w:color w:val="141A21"/>
          <w:sz w:val="27"/>
        </w:rPr>
        <w:t>Le calcul de l'impôt sur les sociétés</w:t>
      </w:r>
    </w:p>
    <w:p>
      <w:pPr>
        <w:spacing w:before="0" w:after="180" w:line="264" w:lineRule="auto"/>
        <w:jc w:val="both"/>
      </w:pPr>
      <w:r>
        <w:rPr>
          <w:rFonts w:ascii="Cambria" w:hAnsi="Cambria"/>
          <w:b w:val="0"/>
          <w:i w:val="0"/>
          <w:color w:val="141A21"/>
          <w:sz w:val="22"/>
        </w:rPr>
        <w:t>Une bonne nouvelle !!! Ce n’est pas vrai il y a en une !</w:t>
      </w:r>
    </w:p>
    <w:p>
      <w:pPr>
        <w:spacing w:before="0" w:after="180" w:line="264" w:lineRule="auto"/>
        <w:ind w:firstLine="340"/>
        <w:jc w:val="both"/>
      </w:pPr>
      <w:r>
        <w:rPr>
          <w:rFonts w:ascii="Cambria" w:hAnsi="Cambria"/>
          <w:b w:val="0"/>
          <w:i w:val="0"/>
          <w:color w:val="141A21"/>
          <w:sz w:val="22"/>
        </w:rPr>
        <w:t>Bien oui, c’est le calcul simplissime de l’impôt sur les sociétés en comparaison de l’impôt sur le revenu ; en fait il va devenir simple mais pas tout de suite.</w:t>
      </w:r>
    </w:p>
    <w:p>
      <w:pPr>
        <w:spacing w:before="0" w:after="180" w:line="264" w:lineRule="auto"/>
        <w:ind w:firstLine="340"/>
        <w:jc w:val="both"/>
      </w:pPr>
      <w:r>
        <w:rPr>
          <w:rFonts w:ascii="Cambria" w:hAnsi="Cambria"/>
          <w:b w:val="0"/>
          <w:i w:val="0"/>
          <w:color w:val="141A21"/>
          <w:sz w:val="22"/>
        </w:rPr>
        <w:t>Aller on prend son DOLIPRANE.</w:t>
      </w:r>
    </w:p>
    <w:p>
      <w:pPr>
        <w:spacing w:before="0" w:after="180" w:line="264" w:lineRule="auto"/>
        <w:ind w:firstLine="340"/>
        <w:jc w:val="both"/>
      </w:pPr>
      <w:r>
        <w:rPr>
          <w:rFonts w:ascii="Cambria" w:hAnsi="Cambria"/>
          <w:b w:val="0"/>
          <w:i w:val="0"/>
          <w:color w:val="141A21"/>
          <w:sz w:val="22"/>
        </w:rPr>
        <w:t>Le taux normal de l’impôt sur les sociétés est fixé à 33,1/3% du bénéfice imposable et sera ramené à 25% progressivement au 1er janvier 2022 (tiens ce n’est pas une date importante pour la France ?)</w:t>
      </w:r>
    </w:p>
    <w:p>
      <w:pPr>
        <w:spacing w:before="0" w:after="180" w:line="264" w:lineRule="auto"/>
        <w:ind w:firstLine="340"/>
        <w:jc w:val="both"/>
      </w:pPr>
      <w:r>
        <w:rPr>
          <w:rFonts w:ascii="Cambria" w:hAnsi="Cambria"/>
          <w:b w:val="0"/>
          <w:i w:val="0"/>
          <w:color w:val="141A21"/>
          <w:sz w:val="22"/>
        </w:rPr>
        <w:t>L’article 84 de la loi de finances 2018 a retenu la baisse du taux normal de l’impôt sur les sociétés de 33,1/3% à 28% et l’élargissement des entreprises pouvant bénéficiées du taux réduit de 15%.</w:t>
      </w:r>
    </w:p>
    <w:p>
      <w:pPr>
        <w:spacing w:before="0" w:after="180" w:line="264" w:lineRule="auto"/>
        <w:ind w:firstLine="340"/>
        <w:jc w:val="both"/>
      </w:pPr>
      <w:r>
        <w:rPr>
          <w:rFonts w:ascii="Cambria" w:hAnsi="Cambria"/>
          <w:b w:val="0"/>
          <w:i w:val="0"/>
          <w:color w:val="141A21"/>
          <w:sz w:val="22"/>
        </w:rPr>
        <w:t>Exercices ouverts à compter du 1er janvier 2017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28% pour la fraction du résultat imposable compris entre 38 120€ et 75 000€</w:t>
      </w:r>
    </w:p>
    <w:p>
      <w:pPr>
        <w:spacing w:before="0" w:after="180" w:line="264" w:lineRule="auto"/>
        <w:ind w:firstLine="340"/>
        <w:jc w:val="both"/>
      </w:pPr>
      <w:r>
        <w:rPr>
          <w:rFonts w:ascii="Cambria" w:hAnsi="Cambria"/>
          <w:b w:val="0"/>
          <w:i w:val="0"/>
          <w:color w:val="141A21"/>
          <w:sz w:val="22"/>
        </w:rPr>
        <w:t>Le taux est de 33,1/3% pour la fraction du résultat imposable supérieur à 75 000€</w:t>
      </w:r>
    </w:p>
    <w:p>
      <w:pPr>
        <w:spacing w:before="0" w:after="180" w:line="264" w:lineRule="auto"/>
        <w:ind w:firstLine="340"/>
        <w:jc w:val="both"/>
      </w:pPr>
      <w:r>
        <w:rPr>
          <w:rFonts w:ascii="Cambria" w:hAnsi="Cambria"/>
          <w:b w:val="0"/>
          <w:i w:val="0"/>
          <w:color w:val="141A21"/>
          <w:sz w:val="22"/>
        </w:rPr>
        <w:t>Cas d’une PME au sens du droit de l’Union Européenne</w:t>
      </w:r>
    </w:p>
    <w:p>
      <w:pPr>
        <w:spacing w:before="0" w:after="180" w:line="264" w:lineRule="auto"/>
        <w:ind w:firstLine="340"/>
        <w:jc w:val="both"/>
      </w:pPr>
      <w:r>
        <w:rPr>
          <w:rFonts w:ascii="Cambria" w:hAnsi="Cambria"/>
          <w:b w:val="0"/>
          <w:i w:val="0"/>
          <w:color w:val="141A21"/>
          <w:sz w:val="22"/>
        </w:rPr>
        <w:t>Le taux est de 28% pour la fraction du résultat imposable inferieur ou égal à 75 000€</w:t>
      </w:r>
    </w:p>
    <w:p>
      <w:pPr>
        <w:spacing w:before="0" w:after="180" w:line="264" w:lineRule="auto"/>
        <w:ind w:firstLine="340"/>
        <w:jc w:val="both"/>
      </w:pPr>
      <w:r>
        <w:rPr>
          <w:rFonts w:ascii="Cambria" w:hAnsi="Cambria"/>
          <w:b w:val="0"/>
          <w:i w:val="0"/>
          <w:color w:val="141A21"/>
          <w:sz w:val="22"/>
        </w:rPr>
        <w:t>Le taux est de 33,1/3% pour la fraction du résultat imposable supérieur à 75 000€</w:t>
      </w:r>
    </w:p>
    <w:p>
      <w:pPr>
        <w:spacing w:before="0" w:after="180" w:line="264" w:lineRule="auto"/>
        <w:ind w:firstLine="340"/>
        <w:jc w:val="both"/>
      </w:pPr>
      <w:r>
        <w:rPr>
          <w:rFonts w:ascii="Cambria" w:hAnsi="Cambria"/>
          <w:b w:val="0"/>
          <w:i w:val="0"/>
          <w:color w:val="141A21"/>
          <w:sz w:val="22"/>
        </w:rPr>
        <w:t>Pour les autres personnes morales assujetties</w:t>
      </w:r>
    </w:p>
    <w:p>
      <w:pPr>
        <w:spacing w:before="0" w:after="180" w:line="264" w:lineRule="auto"/>
        <w:ind w:firstLine="340"/>
        <w:jc w:val="both"/>
      </w:pPr>
      <w:r>
        <w:rPr>
          <w:rFonts w:ascii="Cambria" w:hAnsi="Cambria"/>
          <w:b w:val="0"/>
          <w:i w:val="0"/>
          <w:color w:val="141A21"/>
          <w:sz w:val="22"/>
        </w:rPr>
        <w:t>Le taux est de 33,1/3% pour l'intégralité du résultat imposable</w:t>
      </w:r>
    </w:p>
    <w:p>
      <w:pPr>
        <w:spacing w:before="0" w:after="180" w:line="264" w:lineRule="auto"/>
        <w:ind w:firstLine="340"/>
        <w:jc w:val="both"/>
      </w:pPr>
      <w:r>
        <w:rPr>
          <w:rFonts w:ascii="Cambria" w:hAnsi="Cambria"/>
          <w:b w:val="0"/>
          <w:i w:val="0"/>
          <w:color w:val="141A21"/>
          <w:sz w:val="22"/>
        </w:rPr>
        <w:t>Exercices ouverts à compter du 1er janvier 2018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28% pour la fraction du résultat imposable compris entre 38 120€ et 500 000€</w:t>
      </w:r>
    </w:p>
    <w:p>
      <w:pPr>
        <w:spacing w:before="0" w:after="180" w:line="264" w:lineRule="auto"/>
        <w:ind w:firstLine="340"/>
        <w:jc w:val="both"/>
      </w:pPr>
      <w:r>
        <w:rPr>
          <w:rFonts w:ascii="Cambria" w:hAnsi="Cambria"/>
          <w:b w:val="0"/>
          <w:i w:val="0"/>
          <w:color w:val="141A21"/>
          <w:sz w:val="22"/>
        </w:rPr>
        <w:t>Le taux est de 33,1/3% pour la fraction du résultat imposable supérieur à 500 000€</w:t>
      </w:r>
    </w:p>
    <w:p>
      <w:pPr>
        <w:spacing w:before="0" w:after="180" w:line="264" w:lineRule="auto"/>
        <w:ind w:firstLine="340"/>
        <w:jc w:val="both"/>
      </w:pPr>
      <w:r>
        <w:rPr>
          <w:rFonts w:ascii="Cambria" w:hAnsi="Cambria"/>
          <w:b w:val="0"/>
          <w:i w:val="0"/>
          <w:color w:val="141A21"/>
          <w:sz w:val="22"/>
        </w:rPr>
        <w:t>Pour les autres personnes morales assujetties</w:t>
      </w:r>
    </w:p>
    <w:p>
      <w:pPr>
        <w:spacing w:before="0" w:after="180" w:line="264" w:lineRule="auto"/>
        <w:ind w:firstLine="340"/>
        <w:jc w:val="both"/>
      </w:pPr>
      <w:r>
        <w:rPr>
          <w:rFonts w:ascii="Cambria" w:hAnsi="Cambria"/>
          <w:b w:val="0"/>
          <w:i w:val="0"/>
          <w:color w:val="141A21"/>
          <w:sz w:val="22"/>
        </w:rPr>
        <w:t>Le taux est de 28% pour la fraction du résultat imposable inferieur ou égal à 500 000€</w:t>
      </w:r>
    </w:p>
    <w:p>
      <w:pPr>
        <w:spacing w:before="0" w:after="180" w:line="264" w:lineRule="auto"/>
        <w:ind w:firstLine="340"/>
        <w:jc w:val="both"/>
      </w:pPr>
      <w:r>
        <w:rPr>
          <w:rFonts w:ascii="Cambria" w:hAnsi="Cambria"/>
          <w:b w:val="0"/>
          <w:i w:val="0"/>
          <w:color w:val="141A21"/>
          <w:sz w:val="22"/>
        </w:rPr>
        <w:t>Le taux est de 33,1/3% pour la fraction du résultat imposable supérieur à 500 000€</w:t>
      </w:r>
    </w:p>
    <w:p>
      <w:pPr>
        <w:spacing w:before="0" w:after="180" w:line="264" w:lineRule="auto"/>
        <w:ind w:firstLine="340"/>
        <w:jc w:val="both"/>
      </w:pPr>
      <w:r>
        <w:rPr>
          <w:rFonts w:ascii="Cambria" w:hAnsi="Cambria"/>
          <w:b w:val="0"/>
          <w:i w:val="0"/>
          <w:color w:val="141A21"/>
          <w:sz w:val="22"/>
        </w:rPr>
        <w:t>Exercices ouverts à compter du 1er janvier 2019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28% pour la fraction du résultat imposable compris entre 38 120€ et 500 000€</w:t>
      </w:r>
    </w:p>
    <w:p>
      <w:pPr>
        <w:spacing w:before="0" w:after="180" w:line="264" w:lineRule="auto"/>
        <w:ind w:firstLine="340"/>
        <w:jc w:val="both"/>
      </w:pPr>
      <w:r>
        <w:rPr>
          <w:rFonts w:ascii="Cambria" w:hAnsi="Cambria"/>
          <w:b w:val="0"/>
          <w:i w:val="0"/>
          <w:color w:val="141A21"/>
          <w:sz w:val="22"/>
        </w:rPr>
        <w:t>Le taux est de 31% pour la fraction du résultat imposable supérieur à 500 000€</w:t>
      </w:r>
    </w:p>
    <w:p>
      <w:pPr>
        <w:spacing w:before="0" w:after="180" w:line="264" w:lineRule="auto"/>
        <w:ind w:firstLine="340"/>
        <w:jc w:val="both"/>
      </w:pPr>
      <w:r>
        <w:rPr>
          <w:rFonts w:ascii="Cambria" w:hAnsi="Cambria"/>
          <w:b w:val="0"/>
          <w:i w:val="0"/>
          <w:color w:val="141A21"/>
          <w:sz w:val="22"/>
        </w:rPr>
        <w:t>Pour les autres personnes morales assujetties</w:t>
      </w:r>
    </w:p>
    <w:p>
      <w:pPr>
        <w:spacing w:before="0" w:after="180" w:line="264" w:lineRule="auto"/>
        <w:ind w:firstLine="340"/>
        <w:jc w:val="both"/>
      </w:pPr>
      <w:r>
        <w:rPr>
          <w:rFonts w:ascii="Cambria" w:hAnsi="Cambria"/>
          <w:b w:val="0"/>
          <w:i w:val="0"/>
          <w:color w:val="141A21"/>
          <w:sz w:val="22"/>
        </w:rPr>
        <w:t>Le taux est de 28% pour la fraction du résultat imposable inferieur ou égal à 500 000€</w:t>
      </w:r>
    </w:p>
    <w:p>
      <w:pPr>
        <w:spacing w:before="0" w:after="180" w:line="264" w:lineRule="auto"/>
        <w:ind w:firstLine="340"/>
        <w:jc w:val="both"/>
      </w:pPr>
      <w:r>
        <w:rPr>
          <w:rFonts w:ascii="Cambria" w:hAnsi="Cambria"/>
          <w:b w:val="0"/>
          <w:i w:val="0"/>
          <w:color w:val="141A21"/>
          <w:sz w:val="22"/>
        </w:rPr>
        <w:t>Le taux est de 31% pour la fraction du résultat imposable supérieur à 500 000€</w:t>
      </w:r>
    </w:p>
    <w:p>
      <w:pPr>
        <w:spacing w:before="0" w:after="180" w:line="264" w:lineRule="auto"/>
        <w:ind w:firstLine="340"/>
        <w:jc w:val="both"/>
      </w:pPr>
      <w:r>
        <w:rPr>
          <w:rFonts w:ascii="Cambria" w:hAnsi="Cambria"/>
          <w:b w:val="0"/>
          <w:i w:val="0"/>
          <w:color w:val="141A21"/>
          <w:sz w:val="22"/>
        </w:rPr>
        <w:t>Exercices ouverts à compter du 1er janvier 2020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28% pour la fraction du résultat imposable supérieur à 38 1200€</w:t>
      </w:r>
    </w:p>
    <w:p>
      <w:pPr>
        <w:spacing w:before="0" w:after="180" w:line="264" w:lineRule="auto"/>
        <w:ind w:firstLine="340"/>
        <w:jc w:val="both"/>
      </w:pPr>
      <w:r>
        <w:rPr>
          <w:rFonts w:ascii="Cambria" w:hAnsi="Cambria"/>
          <w:b w:val="0"/>
          <w:i w:val="0"/>
          <w:color w:val="141A21"/>
          <w:sz w:val="22"/>
        </w:rPr>
        <w:t>Pour les autres personnes morales assujetties, le taux est de 28% pour la totalité du résultat imposable</w:t>
      </w:r>
    </w:p>
    <w:p>
      <w:pPr>
        <w:spacing w:before="0" w:after="180" w:line="264" w:lineRule="auto"/>
        <w:ind w:firstLine="340"/>
        <w:jc w:val="both"/>
      </w:pPr>
      <w:r>
        <w:rPr>
          <w:rFonts w:ascii="Cambria" w:hAnsi="Cambria"/>
          <w:b w:val="0"/>
          <w:i w:val="0"/>
          <w:color w:val="141A21"/>
          <w:sz w:val="22"/>
        </w:rPr>
        <w:t>Exercices ouverts à compter du 1er janvier 2021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26,5% pour la fraction du résultat imposable supérieur à 38 1200€</w:t>
      </w:r>
    </w:p>
    <w:p>
      <w:pPr>
        <w:spacing w:before="0" w:after="180" w:line="264" w:lineRule="auto"/>
        <w:ind w:firstLine="340"/>
        <w:jc w:val="both"/>
      </w:pPr>
      <w:r>
        <w:rPr>
          <w:rFonts w:ascii="Cambria" w:hAnsi="Cambria"/>
          <w:b w:val="0"/>
          <w:i w:val="0"/>
          <w:color w:val="141A21"/>
          <w:sz w:val="22"/>
        </w:rPr>
        <w:t>Pour les autres personnes morales assujetties, le taux est de 26,5% pour la totalité du résultat imposable</w:t>
      </w:r>
    </w:p>
    <w:p>
      <w:pPr>
        <w:spacing w:before="0" w:after="180" w:line="264" w:lineRule="auto"/>
        <w:ind w:firstLine="340"/>
        <w:jc w:val="both"/>
      </w:pPr>
      <w:r>
        <w:rPr>
          <w:rFonts w:ascii="Cambria" w:hAnsi="Cambria"/>
          <w:b w:val="0"/>
          <w:i w:val="0"/>
          <w:color w:val="141A21"/>
          <w:sz w:val="22"/>
        </w:rPr>
        <w:t>Exercices ouverts à compter du 1er janvier 2022 :</w:t>
      </w:r>
    </w:p>
    <w:p>
      <w:pPr>
        <w:spacing w:before="0" w:after="180" w:line="264" w:lineRule="auto"/>
        <w:ind w:firstLine="340"/>
        <w:jc w:val="both"/>
      </w:pPr>
      <w:r>
        <w:rPr>
          <w:rFonts w:ascii="Cambria" w:hAnsi="Cambria"/>
          <w:b w:val="0"/>
          <w:i w:val="0"/>
          <w:color w:val="141A21"/>
          <w:sz w:val="22"/>
        </w:rPr>
        <w:t>Cas d’une PME (sous conditions) dont le chiffre d’affaires est inférieur à 7 630 000€</w:t>
      </w:r>
    </w:p>
    <w:p>
      <w:pPr>
        <w:spacing w:before="0" w:after="180" w:line="264" w:lineRule="auto"/>
        <w:ind w:firstLine="340"/>
        <w:jc w:val="both"/>
      </w:pPr>
      <w:r>
        <w:rPr>
          <w:rFonts w:ascii="Cambria" w:hAnsi="Cambria"/>
          <w:b w:val="0"/>
          <w:i w:val="0"/>
          <w:color w:val="141A21"/>
          <w:sz w:val="22"/>
        </w:rPr>
        <w:t>Le taux est de 15% pour la fraction du résultat imposable inférieur ou égal à 38 120€</w:t>
      </w:r>
    </w:p>
    <w:p>
      <w:pPr>
        <w:spacing w:before="0" w:after="180" w:line="264" w:lineRule="auto"/>
        <w:ind w:firstLine="340"/>
        <w:jc w:val="both"/>
      </w:pPr>
      <w:r>
        <w:rPr>
          <w:rFonts w:ascii="Cambria" w:hAnsi="Cambria"/>
          <w:b w:val="0"/>
          <w:i w:val="0"/>
          <w:color w:val="141A21"/>
          <w:sz w:val="22"/>
        </w:rPr>
        <w:t>Le taux est de 25% pour la fraction du résultat imposable supérieur à 38 1200€</w:t>
      </w:r>
    </w:p>
    <w:p>
      <w:pPr>
        <w:spacing w:before="0" w:after="180" w:line="264" w:lineRule="auto"/>
        <w:ind w:firstLine="340"/>
        <w:jc w:val="both"/>
      </w:pPr>
      <w:r>
        <w:rPr>
          <w:rFonts w:ascii="Cambria" w:hAnsi="Cambria"/>
          <w:b w:val="0"/>
          <w:i w:val="0"/>
          <w:color w:val="141A21"/>
          <w:sz w:val="22"/>
        </w:rPr>
        <w:t>Pour les autres personnes morales assujetties, le taux est de 25% pour la totalité du résultat imposable</w:t>
      </w:r>
    </w:p>
    <w:p>
      <w:pPr>
        <w:spacing w:before="0" w:after="180" w:line="264" w:lineRule="auto"/>
        <w:ind w:firstLine="340"/>
        <w:jc w:val="both"/>
      </w:pPr>
      <w:r>
        <w:rPr>
          <w:rFonts w:ascii="Cambria" w:hAnsi="Cambria"/>
          <w:b w:val="0"/>
          <w:i w:val="0"/>
          <w:color w:val="141A21"/>
          <w:sz w:val="22"/>
        </w:rPr>
        <w:t>TAUX D’IS APPLICABLE AUX ENTREPRISES POUR LES EXERCICES OUVERT À COMPTER DU 1ER JANVIER 2017 ENTREPRISES CONCERNÉES TRANCHES DE BÉNÉFICES IMPOSABLE TAUX D’IS APPLICABLE PME bénéficiant du taux réduit d’IS de 15 % (CA &lt; 7,63 M€) de 0 € à 38 120 € de 38 120 € à 75 000 € au-delà de 75 000 € 15 % 28 % 331/3 % PME ne bénéficiant pas du taux réduit d’IS de 15 % (CA &lt; 50 M€) de 0 € à 75 000 € au-delà de 75 000 € 28 % 331/3 % Grandes entreprises (50 M€ &lt; CA) Totalité du bénéfice imposable 331/3 %</w:t>
      </w:r>
    </w:p>
    <w:p>
      <w:pPr>
        <w:spacing w:before="0" w:after="180" w:line="264" w:lineRule="auto"/>
        <w:ind w:firstLine="340"/>
        <w:jc w:val="both"/>
      </w:pPr>
      <w:r>
        <w:rPr>
          <w:rFonts w:ascii="Cambria" w:hAnsi="Cambria"/>
          <w:b w:val="0"/>
          <w:i w:val="0"/>
          <w:color w:val="141A21"/>
          <w:sz w:val="22"/>
        </w:rPr>
        <w:t>MODIFICATION PROGRESSIVE DU TAUX DE L’IS EXERCICES OUVERTS À COMPTER DU 1ER JANVIER PME ÉLIGIBLES AU TAUX D’IS DE 15 % AUTRES ENTREPRISES 2018 15 % de 0 € à 38 120 € 28 % de 38 120 € à 500 000 € 331/3 % au-delà de 500 000 € 28 % de 0 € à 500 000 € 331/3 % au-delà de 500 000 € 2019 15 % de 0 € à 38 120 € 28 % de 38 120 € à 500 000 € 31 % au-delà de 500 000 € 28 % de 0 € à 500 000 € 31 % au-delà de 500 000 € 2020 15 % de 0 € à 38 120 € 28 % au-delà de 38 120 € 28 % 2021 15 % de 0 € à 38 120 € 26,5 % au-delà de 38 120 € 26,5 % 2022 15 % de 0 € à 38 120 € 25 % au-delà de 38 120 € 25 %</w:t>
      </w:r>
    </w:p>
    <w:p>
      <w:pPr>
        <w:spacing w:before="0" w:after="180" w:line="264" w:lineRule="auto"/>
        <w:ind w:firstLine="340"/>
        <w:jc w:val="both"/>
      </w:pPr>
      <w:r>
        <w:rPr>
          <w:rFonts w:ascii="Cambria" w:hAnsi="Cambria"/>
          <w:b w:val="0"/>
          <w:i w:val="0"/>
          <w:color w:val="141A21"/>
          <w:sz w:val="22"/>
        </w:rPr>
        <w:t>Les taux des retenues à la source et prélèvements applicables lorsque la personne morale perçoit des revenus de sources française n’est pas résidente en France, sont alignés, en référence à l’article 209, 1 du CGI, sur la baisse du normal de l’IS :</w:t>
      </w:r>
    </w:p>
    <w:p>
      <w:pPr>
        <w:spacing w:before="0" w:after="180" w:line="264" w:lineRule="auto"/>
        <w:ind w:firstLine="340"/>
        <w:jc w:val="both"/>
      </w:pPr>
      <w:r>
        <w:rPr>
          <w:rFonts w:ascii="Cambria" w:hAnsi="Cambria"/>
          <w:b w:val="0"/>
          <w:i w:val="0"/>
          <w:color w:val="141A21"/>
          <w:sz w:val="22"/>
        </w:rPr>
        <w:t>31% en 2019</w:t>
      </w:r>
    </w:p>
    <w:p>
      <w:pPr>
        <w:spacing w:before="0" w:after="180" w:line="264" w:lineRule="auto"/>
        <w:ind w:firstLine="340"/>
        <w:jc w:val="both"/>
      </w:pPr>
      <w:r>
        <w:rPr>
          <w:rFonts w:ascii="Cambria" w:hAnsi="Cambria"/>
          <w:b w:val="0"/>
          <w:i w:val="0"/>
          <w:color w:val="141A21"/>
          <w:sz w:val="22"/>
        </w:rPr>
        <w:t>28% en 2020</w:t>
      </w:r>
    </w:p>
    <w:p>
      <w:pPr>
        <w:spacing w:before="0" w:after="180" w:line="264" w:lineRule="auto"/>
        <w:ind w:firstLine="340"/>
        <w:jc w:val="both"/>
      </w:pPr>
      <w:r>
        <w:rPr>
          <w:rFonts w:ascii="Cambria" w:hAnsi="Cambria"/>
          <w:b w:val="0"/>
          <w:i w:val="0"/>
          <w:color w:val="141A21"/>
          <w:sz w:val="22"/>
        </w:rPr>
        <w:t>26,5% en 2021</w:t>
      </w:r>
    </w:p>
    <w:p>
      <w:pPr>
        <w:spacing w:before="0" w:after="180" w:line="264" w:lineRule="auto"/>
        <w:ind w:firstLine="340"/>
        <w:jc w:val="both"/>
      </w:pPr>
      <w:r>
        <w:rPr>
          <w:rFonts w:ascii="Cambria" w:hAnsi="Cambria"/>
          <w:b w:val="0"/>
          <w:i w:val="0"/>
          <w:color w:val="141A21"/>
          <w:sz w:val="22"/>
        </w:rPr>
        <w:t>25% en 2022</w:t>
      </w:r>
    </w:p>
    <w:p>
      <w:pPr>
        <w:spacing w:before="0" w:after="180" w:line="264" w:lineRule="auto"/>
        <w:ind w:firstLine="340"/>
        <w:jc w:val="both"/>
      </w:pPr>
      <w:r>
        <w:rPr>
          <w:rFonts w:ascii="Cambria" w:hAnsi="Cambria"/>
          <w:b w:val="0"/>
          <w:i w:val="0"/>
          <w:color w:val="141A21"/>
          <w:sz w:val="22"/>
        </w:rPr>
        <w:t>Pour les spécialistes de l’investissement immobilier, dont je rencontre beaucoup lors de mes conférences, je cite ce point particulièrement intéressant qui est le taux réduit d’IS sur les plus-values de cession d’immeubles professionnels en vue de leur transformation en logements. C’est en fait la prorogation et le réaménagement d’un dispositif de la loi de finances 2014.</w:t>
      </w:r>
    </w:p>
    <w:p>
      <w:pPr>
        <w:spacing w:before="0" w:after="180" w:line="264" w:lineRule="auto"/>
        <w:ind w:firstLine="340"/>
        <w:jc w:val="both"/>
      </w:pPr>
      <w:r>
        <w:rPr>
          <w:rFonts w:ascii="Cambria" w:hAnsi="Cambria"/>
          <w:b w:val="0"/>
          <w:i w:val="0"/>
          <w:color w:val="141A21"/>
          <w:sz w:val="22"/>
        </w:rPr>
        <w:t>Une personne morale soumise à l’impôt sur les sociétés bénéficie d’un taux réduit de 19% sur les plus-values nettes réalisées lors de la cession d’un local à usage Commercial ou de bureau ou bien industriel, sous un certain délais qui varie de 3 à 4 ans lorsque le cessionnaire (donc le nouveau propriétaire) s’engage à le transformer en local à usage de d’habitation. La cession doit être réalisée au profit d’une personne morale soumise à l’impôt sur les sociétés, d’une société immobilière spécialisée ayant pour objet l’acquisition ou la construction d’immeuble en vue de leur location ou d’un organisme en charge de logement social.</w:t>
      </w:r>
    </w:p>
    <w:p>
      <w:pPr>
        <w:spacing w:before="0" w:after="180" w:line="264" w:lineRule="auto"/>
        <w:ind w:firstLine="340"/>
        <w:jc w:val="both"/>
      </w:pPr>
      <w:r>
        <w:rPr>
          <w:rFonts w:ascii="Cambria" w:hAnsi="Cambria"/>
          <w:b w:val="0"/>
          <w:i w:val="0"/>
          <w:color w:val="141A21"/>
          <w:sz w:val="22"/>
        </w:rPr>
        <w:t>Ce taux réduit ne peut s’appliquer que si le cédant et le cessionnaire n’ont entre eux aucun lien de dépendance au sens de l’article 39, 12 du code général des impôts.</w:t>
      </w:r>
    </w:p>
    <w:p>
      <w:pPr>
        <w:spacing w:before="0" w:after="180" w:line="264" w:lineRule="auto"/>
        <w:ind w:firstLine="340"/>
        <w:jc w:val="both"/>
      </w:pPr>
      <w:r>
        <w:rPr>
          <w:rFonts w:ascii="Cambria" w:hAnsi="Cambria"/>
          <w:b w:val="0"/>
          <w:i w:val="0"/>
          <w:color w:val="141A21"/>
          <w:sz w:val="22"/>
        </w:rPr>
        <w:t>Ce dispositif a été prorogé aux cessions réalisées jusqu’au 31 décembre 2020 inclus et aux promesses de ventes conclues jusqu’au 31 décembre 2020 sous condition que la cession soit bien réalisée au plus tard le 31 décembre 2022.</w:t>
      </w:r>
    </w:p>
    <w:p>
      <w:pPr>
        <w:spacing w:before="0" w:after="180" w:line="264" w:lineRule="auto"/>
        <w:ind w:firstLine="340"/>
        <w:jc w:val="both"/>
      </w:pPr>
      <w:r>
        <w:rPr>
          <w:rFonts w:ascii="Cambria" w:hAnsi="Cambria"/>
          <w:b w:val="0"/>
          <w:i w:val="0"/>
          <w:color w:val="141A21"/>
          <w:sz w:val="22"/>
        </w:rPr>
        <w:t>Ce dispositif a été étendu aux cessions de terrains à bâtir et aux cessions d’immeubles situés dans des zones tendues à une société civile de construction-vente. Les terrains à bâtir s’entendent des terrains sur les quels des constructions peuvent être autorisées en application d’un plan local d’urbanisme, d’un autre document d’urbanisme en tenant lieu d’une carte communale ou à défaut d’une partie urbanisée de la commune au titre de l’article L. 111-3 du Code de l’urbanisme. S’agissant d’un terrain à bâtir le cessionnaire doit s’engager à y construire des locaux à usage d’habitation dans les quatre ans qui suivent la date de clôture de l’exercice au cours duquel duquel l’acquisition est intervenue. Dans le cas ne non respect de cette obligation par le cessionnaire, l’amende est égale à 25% de la valeur de la cession. Cet avantage du taux de 19% est éligible pour les cessions au profit de sociétés civiles de construction-vente. Ce dispositif est applicable uniquement en cas de cession de locaux et de terrains sis dans des communes situés dans des zones géographiques se caractérisant par un déséquilibre particulièrement important entre l’offre et la demande de logements</w:t>
      </w:r>
    </w:p>
    <w:p>
      <w:pPr>
        <w:pStyle w:val="Heading3"/>
        <w:spacing w:before="400" w:after="100" w:line="276" w:lineRule="auto"/>
      </w:pPr>
      <w:r>
        <w:rPr>
          <w:rFonts w:ascii="Calibri" w:hAnsi="Calibri"/>
          <w:b/>
          <w:i w:val="0"/>
          <w:color w:val="141A21"/>
          <w:sz w:val="27"/>
        </w:rPr>
        <w:t>Le sursis d'imposition des fusions et apports</w:t>
      </w:r>
    </w:p>
    <w:p>
      <w:pPr>
        <w:spacing w:before="0" w:after="180" w:line="264" w:lineRule="auto"/>
        <w:jc w:val="both"/>
      </w:pPr>
      <w:r>
        <w:rPr>
          <w:rFonts w:ascii="Cambria" w:hAnsi="Cambria"/>
          <w:b w:val="0"/>
          <w:i w:val="0"/>
          <w:color w:val="141A21"/>
          <w:sz w:val="22"/>
        </w:rPr>
        <w:t>Encore un point important qui peut intéresser les gens ayant constitué leur société et souhaitant se structurer en appliquant la méthode du triangle magique. Ca concerne le régime spécial de sursis d’imposition des opérations de fusion et assimilées, comme les scissions, les apports partiels d’actifs. Vous êtes déjà ENTREPRENEURS et cette activité est réalisée en nom propre et vous décidé de la structurer pour continuer d’exercer sous forme de société. Alléluia. Mais que faire de cette activité ? L’arrêter et tout recommencer à zéro avec la nouvelle société ? En fait dans la pratique j’ai pu constater lors de mon exercice professionnel, que cette façon de faire était très répandue et souvent par ignorance plus que par cupidité. En fait dans le cerveau de certains d’entre nous c’est même logique ! Bâ quoi on vous a toujours dit qu’une société ce n’était pas vous, surtout pour la caisse (on verra ce point plus tard) donc si maintenant vous exercez votre activité en société et plus en nom propre c’est donc que vous avez arrêté votre activité en nom propre. Mais c’est sans compter sur l’Administration fiscale qui dit « que nénies ! » et dans ce cas elle n’a pas tord car en fait la clientèle qui nous connait et nous fait confiance pour notre professionnalisme, continuera à nous téléphoner pour nos services (encore plus si on a gardé le même numéro de téléphone) et ne verra pas d’inconvénient a ce que maintenant on facture au bénéfice d’une société plutôt que à notre patronyme. Cette situation est en fait « un transfert de fonds de commerce » de votre activité professionnelle à votre société et cela pour l’Administration ca équivaut à un transfert de propriété à titre gratuit mais c’est comme une vente et l’Administration veut récupérer des sous, des taxes et des impôts comme lorsque que vous vendez quelque chose en échange d’un paiement il faut calculer la fameuse plus-value, pensé à une vente immobilière. Donc en cas de contrôle l’Administration considérera que vous avez « vendu » votre activité à votre société et vous taxera sur une base de transaction qu’elle aura évaluée. Il y a donc une autre possibilité et qui a le mérite d’avoir un avantage important mais qui est plus couteuse à réaliser, c’est le fait d’apporter votre activité professionnelle que vous exerciez en entreprise individuelle a votre société avec une rémunération car votre société vous donnera en échange de cet actif incorporel, des titres d’elle-même. Bon alors je vous aie déjà perdu ? Un bon MARS et ca repart.</w:t>
      </w:r>
    </w:p>
    <w:p>
      <w:pPr>
        <w:spacing w:before="0" w:after="180" w:line="264" w:lineRule="auto"/>
        <w:ind w:firstLine="340"/>
        <w:jc w:val="both"/>
      </w:pPr>
      <w:r>
        <w:rPr>
          <w:rFonts w:ascii="Cambria" w:hAnsi="Cambria"/>
          <w:b w:val="0"/>
          <w:i w:val="0"/>
          <w:color w:val="141A21"/>
          <w:sz w:val="22"/>
        </w:rPr>
        <w:t>Prenons un exemple :</w:t>
      </w:r>
    </w:p>
    <w:p>
      <w:pPr>
        <w:spacing w:before="0" w:after="180" w:line="264" w:lineRule="auto"/>
        <w:ind w:firstLine="340"/>
        <w:jc w:val="both"/>
      </w:pPr>
      <w:r>
        <w:rPr>
          <w:rFonts w:ascii="Cambria" w:hAnsi="Cambria"/>
          <w:b w:val="0"/>
          <w:i w:val="0"/>
          <w:color w:val="141A21"/>
          <w:sz w:val="22"/>
        </w:rPr>
        <w:t>Vous êtes électricien et vous exercez depuis 5 ans cette activité en nom propre. Chaque année votre expert-comptable réalise le « bilan » de votre activité, vous remet une déclaration dont le numéro CERFA est 2031 qui comporte le résultat fiscal de cette activité que vous devez déclarer sur votre déclaration de revenus personnelle qui elle comporte le numéro CERFA 2042.</w:t>
      </w:r>
    </w:p>
    <w:p>
      <w:pPr>
        <w:spacing w:before="0" w:after="180" w:line="264" w:lineRule="auto"/>
        <w:ind w:firstLine="340"/>
        <w:jc w:val="both"/>
      </w:pPr>
      <w:r>
        <w:rPr>
          <w:rFonts w:ascii="Cambria" w:hAnsi="Cambria"/>
          <w:b w:val="0"/>
          <w:i w:val="0"/>
          <w:color w:val="141A21"/>
          <w:sz w:val="22"/>
        </w:rPr>
        <w:t>L’année N-2 ce résultat est de 5K€</w:t>
      </w:r>
    </w:p>
    <w:p>
      <w:pPr>
        <w:spacing w:before="0" w:after="180" w:line="264" w:lineRule="auto"/>
        <w:ind w:firstLine="340"/>
        <w:jc w:val="both"/>
      </w:pPr>
      <w:r>
        <w:rPr>
          <w:rFonts w:ascii="Cambria" w:hAnsi="Cambria"/>
          <w:b w:val="0"/>
          <w:i w:val="0"/>
          <w:color w:val="141A21"/>
          <w:sz w:val="22"/>
        </w:rPr>
        <w:t>L’année N-1 ce résultat est de 7K€</w:t>
      </w:r>
    </w:p>
    <w:p>
      <w:pPr>
        <w:spacing w:before="0" w:after="180" w:line="264" w:lineRule="auto"/>
        <w:ind w:firstLine="340"/>
        <w:jc w:val="both"/>
      </w:pPr>
      <w:r>
        <w:rPr>
          <w:rFonts w:ascii="Cambria" w:hAnsi="Cambria"/>
          <w:b w:val="0"/>
          <w:i w:val="0"/>
          <w:color w:val="141A21"/>
          <w:sz w:val="22"/>
        </w:rPr>
        <w:t>En année N vous créer une société avec un capital social de 1 000€ divisé en 100 titres de 10€. Dans la même année vous décidez d’apporter votre activité professionnelle à votre société. Cette activité a été évaluée par un professionnel du chiffre à la somme de 6K€ (cet exemple reste une fiction toute ressemblance avec la réalité n’est pas voulue par le rédacteur).</w:t>
      </w:r>
    </w:p>
    <w:p>
      <w:pPr>
        <w:spacing w:before="0" w:after="180" w:line="264" w:lineRule="auto"/>
        <w:ind w:firstLine="340"/>
        <w:jc w:val="both"/>
      </w:pPr>
      <w:r>
        <w:rPr>
          <w:rFonts w:ascii="Cambria" w:hAnsi="Cambria"/>
          <w:b w:val="0"/>
          <w:i w:val="0"/>
          <w:color w:val="141A21"/>
          <w:sz w:val="22"/>
        </w:rPr>
        <w:t>Vous effectuez cet apport et votre société verra son capital augmenter de 6K€ par la création de 600 titres (6000 / 10€ de valeur nominale) qu’elle vous donnera en échange de l’apport.</w:t>
      </w:r>
    </w:p>
    <w:p>
      <w:pPr>
        <w:spacing w:before="0" w:after="180" w:line="264" w:lineRule="auto"/>
        <w:ind w:firstLine="340"/>
        <w:jc w:val="both"/>
      </w:pPr>
      <w:r>
        <w:rPr>
          <w:rFonts w:ascii="Cambria" w:hAnsi="Cambria"/>
          <w:b w:val="0"/>
          <w:i w:val="0"/>
          <w:color w:val="141A21"/>
          <w:sz w:val="22"/>
        </w:rPr>
        <w:t>Cette situation est assimilée à une vente mais sans flux financier, donc l’Administration dans sa grande mansuétude vous dit qu’il convient de calculer la plus-value réalisée mais la met en « sursis d’imposition » puisque vous n’avez pas touché d’argent. Vous payerez cette taxe que lorsque vous vendrez les titres que vous avez reçus en échange de cet apport. C’est plus clair ? OUI bon je continu en vous expliquant ce régime spécial</w:t>
      </w:r>
    </w:p>
    <w:p>
      <w:pPr>
        <w:spacing w:before="0" w:after="180" w:line="264" w:lineRule="auto"/>
        <w:ind w:firstLine="340"/>
        <w:jc w:val="both"/>
      </w:pPr>
      <w:r>
        <w:rPr>
          <w:rFonts w:ascii="Cambria" w:hAnsi="Cambria"/>
          <w:b w:val="0"/>
          <w:i w:val="0"/>
          <w:color w:val="141A21"/>
          <w:sz w:val="22"/>
        </w:rPr>
        <w:t>L’article 23 de la 2ème loi de finances rectificative pour 2017 met en conformité au droit de l’Union européenne le régime de sursis d’imposition des opérations de fusions et assimilées comme les scissions, apports partiels d’actif et apports partiels d’actif suivis de l’attribution des titres reçus en rémunération en supprimant la procédure d’agrément préalable lorsque ces opérations concernent des branches complètes d’activité et en transposant la clause anti-abus générale ce qui entraine la suppression de l’engagement de conservation des titres de la société bénéficiaire et ceci s’applique aux opérations visées à compter du 1er janvier 2018. Tout le texte n’étant pas très clair je pense que nous verrons de la jurisprudence prochainement, néanmoins analysons quelques points. Constituent des apports partiels d’actifs les opérations par lesquelles une société apporte, sans être dissoute, l’ensemble ou une ou plusieurs branches complètes de son activité à une autre société, moyennant la remise de titres représentatifs de capital social de la société bénéficiaire de l’apport.</w:t>
      </w:r>
    </w:p>
    <w:p>
      <w:pPr>
        <w:spacing w:before="0" w:after="180" w:line="264" w:lineRule="auto"/>
        <w:ind w:firstLine="340"/>
        <w:jc w:val="both"/>
      </w:pPr>
      <w:r>
        <w:rPr>
          <w:rFonts w:ascii="Cambria" w:hAnsi="Cambria"/>
          <w:b w:val="0"/>
          <w:i w:val="0"/>
          <w:color w:val="141A21"/>
          <w:sz w:val="22"/>
        </w:rPr>
        <w:t>Ce régime s’applique même si dans le cas ou l’apport est réalisé au bénéfice d’une société étrangère. En tout état de cause ces opérations de scissions et d’apports d’une ou plusieurs branches complètes d’activité et les apports d’éléments assimilé ne donnent plus lieu à un examen préalable mais entrent dans le droit commun des pouvoirs de contrôle de l’Administration qui pourra remettre en cause le bénéfice du sursis si elle considère que l’opération avait pour objectif principal la fraude fiscale, qu’elle effectue lors d’un contrôle fiscal.</w:t>
      </w:r>
    </w:p>
    <w:p>
      <w:pPr>
        <w:spacing w:before="0" w:after="180" w:line="264" w:lineRule="auto"/>
        <w:ind w:firstLine="340"/>
        <w:jc w:val="both"/>
      </w:pPr>
      <w:r>
        <w:rPr>
          <w:rFonts w:ascii="Cambria" w:hAnsi="Cambria"/>
          <w:b w:val="0"/>
          <w:i w:val="0"/>
          <w:color w:val="141A21"/>
          <w:sz w:val="22"/>
        </w:rPr>
        <w:t>La clause anti-abus est assortie d’une présomption exposée comme suit : « l’opération est regardée, sauf preuve contraire appréciée dans le cadre d’une procédure de contrôle contradictoire en application de l’article L. 10 du livre des procédures fiscales, comme ayant pour objectif principal ou pour un de ses objectifs principaux la fraude ou l’évasion fiscales lorsqu’elle n’est pas effectuée pour des motifs économiques valables, tels que la restructuration ou la rationalisation des activités des sociétés participants à l’opération ».</w:t>
      </w:r>
    </w:p>
    <w:p>
      <w:pPr>
        <w:spacing w:before="0" w:after="180" w:line="264" w:lineRule="auto"/>
        <w:ind w:firstLine="340"/>
        <w:jc w:val="both"/>
      </w:pPr>
      <w:r>
        <w:rPr>
          <w:rFonts w:ascii="Cambria" w:hAnsi="Cambria"/>
          <w:b w:val="0"/>
          <w:i w:val="0"/>
          <w:color w:val="141A21"/>
          <w:sz w:val="22"/>
        </w:rPr>
        <w:t>De ce fait incombera à l’Administration d’apporter les éléments justifiant, selon elle, que l’opération a comme objectif principal ou comme un de ses objectifs principaux, la fraude ou l’évasion fiscale, dans le cadre d’une procédure de contrôle. Le contribuable pourra contredire l’Administration en justifiant soit de l’objectif de restructuration ou de rationalisation des activités des sociétés participant à l’opération, soit de l’existence d’autres motifs économiques. Cette remarque s’applique également à l’apport d’une entreprise individuelle en société ou des restructurations internes à un groupe intégré fiscalement. De plus l’engagement de conservation pendant trois ans des titres de la société bénéficiaire par l’apporteur est supprimé et la conformité avec les textes européens relatifs aux modalités de calcul des plus-values de cessions ultérieures des titres énoncés à partir de la valeur fiscale que les biens apportés avaient dans les écritures de la société apporteuse. La société apporteuse est tenue de souscrire, par voie électronique, dans le même délai que sa déclaration spéciale permettant d’apprécier les motifs et conséquences de cette opération, conforme à un modèle dont le contenu sera précisé par décret ; le défaut de souscription de la déclaration ne sera pas sanctionné par la remise en cause du sursis d’imposition mais par une amende forfaitaire d’un montant de 10 000€. Le législateur a prévu une nouvelle procédure de rescrit permettant au contribuable d’obtenir de la part de l’Administration confirmation que l’opération de fusion, de scission ou d’apport partiel d’actif a laquelle il envisage de procéder n’entre pas dans le champ d’application de la clause anti-abus. Le contribuable, de bonne foi, présente par écrit, préalablement à l’opération, les opérations juridiques et économiques qui motivent l’opération. L’absence de réponse de l’Administration dans un délaie de 6 mois garanti le contribuable contre les changements, évolutions et spécifications de textes. La loi prévoit que sont assimilés à des branches complètes d’activité les apports de participation portant sur plus de 50% du capital de la société dont les titres sont apportés ou conférant à la société bénéficiaire des apports la détention directe de plus de 30% des droits de vote de la société dont les titres sont apportés lorsqu’aucun autre associé ne détient, directement ou indirectement, une fraction des droits de vote supérieurs, ou enfin conférant à la société bénéficiaire des apports qui détient d’ores et déjà plus de 30% des droits de vote de la société dont les titres sont apportés la fraction des droits de vote la plus élevée dans la société, les apports de participation qui renforcent la participation majoritaire déjà détenue par la société bénéficiaire dans la société dont les titres sont apportés.</w:t>
      </w:r>
    </w:p>
    <w:p>
      <w:pPr>
        <w:spacing w:before="0" w:after="180" w:line="264" w:lineRule="auto"/>
        <w:ind w:firstLine="340"/>
        <w:jc w:val="both"/>
      </w:pPr>
      <w:r>
        <w:rPr>
          <w:rFonts w:ascii="Cambria" w:hAnsi="Cambria"/>
          <w:b w:val="0"/>
          <w:i w:val="0"/>
          <w:color w:val="141A21"/>
          <w:sz w:val="22"/>
        </w:rPr>
        <w:t>Une modification du régime fiscal des restructurations va aussi faciliter l’attribution des titres de la société d’une société non résidente bénéficiaire d’un apport partiel d’actif portant sur une ou plusieurs branches complètes d’activité. Cet assouplissement entraine à contrario un durcissement des conditions d’obtention de l’agrément pour les apports partiels d’actif et les scissions qui ne portent pas sur une ou plusieurs branches complètes d’activité ou d’éléments assimilés, l’opération doit être justifiée par un motif économique, se traduisant notamment par l’exercice par la société bénéficiaire de l’apport d’une activité autonome et l’amélioration des structures, ainsi que par une association entre les parties formalisée par un engagement de conservation pendant trois ans des titres remis en contrepartie de l’apport.</w:t>
      </w:r>
    </w:p>
    <w:p>
      <w:pPr>
        <w:spacing w:before="0" w:after="180" w:line="264" w:lineRule="auto"/>
        <w:ind w:firstLine="340"/>
        <w:jc w:val="both"/>
      </w:pPr>
      <w:r>
        <w:rPr>
          <w:rFonts w:ascii="Cambria" w:hAnsi="Cambria"/>
          <w:b w:val="0"/>
          <w:i w:val="0"/>
          <w:color w:val="141A21"/>
          <w:sz w:val="22"/>
        </w:rPr>
        <w:t>Dans le cas des scissions, les associés de la société scindée qui sont tenus à l’engagement de conservation de trois ans sont ceux qui détiennent dans la société scindée, à la date d’approbation de la scission, 5% au moins des droits de vote ou qui y exercent ou y ont exercé dans les 6 mois précédant cette date, directement ou par l’intermédiaire de leurs mandataires sociaux ou préposés, des fonctions de direction, d’administration ou de surveillance et détiennent au moins 0,1% des droits de vote dans la société. L’article 115, 2 bis nouveau du CGI maintient également la nécessité d’un agrément lorsque l’apport partiel d’actif n’est pas représentatif d’une branche complète d’activité, sans préciser « ou d’éléments assimilés à une branche complète d’activité » ou lorsque la société apporteuse ne dispose plus d’au moins une branche complète d’activité après la réalisation de l’apport. Il peut donc être conclu que lorsque l’apport partiel d’actif concerne des éléments assimilés à une branche complète d’activité, l’attribuassions des titres représentants cet apport sera soumise à agrément préalable, quel que soit le lieu de résidence de la société bénéficiaire. Les conditions de l’agrément sont liées à ce que l’attribution devra se traduire par l’exercice par la société apporteuse et la société bénéficiaire d’une activité autonome et l’amélioration des structures, les associés de la société apporteuse devront prendre l’engagement de conserver les titres de la société apporteuse et les titres de la société bénéficiaire pendant une durée de trois ans.</w:t>
      </w:r>
    </w:p>
    <w:p>
      <w:pPr>
        <w:spacing w:before="0" w:after="180" w:line="264" w:lineRule="auto"/>
        <w:ind w:firstLine="340"/>
        <w:jc w:val="both"/>
      </w:pPr>
      <w:r>
        <w:rPr>
          <w:rFonts w:ascii="Cambria" w:hAnsi="Cambria"/>
          <w:b w:val="0"/>
          <w:i w:val="0"/>
          <w:color w:val="141A21"/>
          <w:sz w:val="22"/>
        </w:rPr>
        <w:t>le nouveau système d’évaluation des valeurs locatives des locaux professionnels avec l’instauration d’une nouvelle grille tarifaire mise à jour annuellement institué par la quatrième loi de finance rectificative pour 2010, entre en vigueur le 1er janvier 2018. L’article 30 de la loi de finance rectificative pour 2017 met en place la codification de la révision des valeurs locatives des locaux professionnels, plusieurs aménagements sont prévus comme la suppression de la possibilité de contestation des coefficients de localisation à l’occasion d’un litige individuel. Cette mesure a été à de multiples reprises modifiée et ou reportée, en charge d’assoir les impositions en matière de taxe foncière, de cotisations foncières des entreprises (CFE).</w:t>
      </w:r>
    </w:p>
    <w:p>
      <w:pPr>
        <w:spacing w:before="0" w:after="180" w:line="264" w:lineRule="auto"/>
        <w:ind w:firstLine="340"/>
        <w:jc w:val="both"/>
      </w:pPr>
      <w:r>
        <w:rPr>
          <w:rFonts w:ascii="Cambria" w:hAnsi="Cambria"/>
          <w:b w:val="0"/>
          <w:i w:val="0"/>
          <w:color w:val="141A21"/>
          <w:sz w:val="22"/>
        </w:rPr>
        <w:t>L’article 97 de la loi de finances pour 2018 institue une exonération de CFE et de taxes consulaires additionnelles, à compter des impositions établies au titre de 2019, pour les très petites entreprises qui réalisent une recette annuelle inférieure à 5 000 €, cela devrait porter sur 1M des 2,7 M d’entreprises dites TPE en France. De plus l’article 15 de la loi de finances élargie le périmètre de consolidation du chiffre d’affaires au sein d’un groupe pour le calcul effectif de la CVAE, la contribution sur la valeur ajoutée des entreprises. La notion de consolidation consiste à regrouper l’ensemble des résultats imposables des sociétés appartenant au même groupe afin de déterminer un résultat imposable global et de calculer un seul impôt société pour l’ensemble du groupe. Cette explication un peu simpliste pour des érudits mais c’est la définition la plus simple que j’ai trouvé pour des novices. Cette option fiscale permet de ne pas payer trop d’impôts société donc de se défausser de sa trésorerie, quand vous avez une société qui génère du résultat, donc de l’IS et une autre qui est en perte, la consolidation permet de déterminer un résultat moyen et de payer moins d’impôt. Attention néanmoins la détermination d’une consolidation d’un groupe doit respecter des critères très précis qu’il convient de voir avec un professionnel du chiffre.</w:t>
      </w:r>
    </w:p>
    <w:p>
      <w:pPr>
        <w:pStyle w:val="Heading3"/>
        <w:spacing w:before="400" w:after="100" w:line="276" w:lineRule="auto"/>
      </w:pPr>
      <w:r>
        <w:rPr>
          <w:rFonts w:ascii="Calibri" w:hAnsi="Calibri"/>
          <w:b/>
          <w:i w:val="0"/>
          <w:color w:val="141A21"/>
          <w:sz w:val="27"/>
        </w:rPr>
        <w:t>L'impôt sur la fortune immobilière (IFI)</w:t>
      </w:r>
    </w:p>
    <w:p>
      <w:pPr>
        <w:spacing w:before="0" w:after="180" w:line="264" w:lineRule="auto"/>
        <w:jc w:val="both"/>
      </w:pPr>
      <w:r>
        <w:rPr>
          <w:rFonts w:ascii="Cambria" w:hAnsi="Cambria"/>
          <w:b w:val="0"/>
          <w:i w:val="0"/>
          <w:color w:val="141A21"/>
          <w:sz w:val="22"/>
        </w:rPr>
        <w:t>A compter du 1er janvier 2018, l’impôt de solidarité sur la fortune(ISF) est abrogé et remplacé par l’impôt sur la fortune immobilière (IFI). Ce nouvel impôt, applicable qu’aux personnes physique, ne retient dans sa base imposable que les immeubles et droits immobiliers détenus par le contribuable soit directement en nom propre soit par l’intermédiaire d’une société ou d’un organisme. L’IFI est dû si les actifs imposables ont une valeur réelle totale supérieure à 1 300 000€.</w:t>
      </w:r>
    </w:p>
    <w:p>
      <w:pPr>
        <w:spacing w:before="0" w:after="180" w:line="264" w:lineRule="auto"/>
        <w:ind w:firstLine="340"/>
        <w:jc w:val="both"/>
      </w:pPr>
      <w:r>
        <w:rPr>
          <w:rFonts w:ascii="Cambria" w:hAnsi="Cambria"/>
          <w:b w:val="0"/>
          <w:i w:val="0"/>
          <w:color w:val="141A21"/>
          <w:sz w:val="22"/>
        </w:rPr>
        <w:t>L’IFI est un impôt annuel pour l’ensemble du foyer fiscal, regroupant les patrimoines du contribuable, de son conjoint, de son partenaires lié par un pacte civil de solidarité défini à l’article 515-1 du Code civil, son concubin notoire ainsi que leurs enfants mineurs lorsqu’ils ont l’administration légale des biens. Seuls les époux séparés de biens et ne vivant pas sous le même toit et les époux en instance de séparation de corps ou de divorce et autorisés à avoir des résidences séparées doivent établir des déclarations séparées. Les personnes physiques imposables s’entendent des résidents français mais aussi des non-résidents. Les résidents français sont des personnes qui ont en France leur foyer ou le lieu de leur séjour principal, qui exercent en France une activité professionnelle salariée ou non, à moins qu’elles ne justifient que cette activité y est exercée à titre accessoire ou qui ont en France le centre de leurs intérêts économiques. Les non-résidents n’ayant donc pas leur domicile fiscal en France sont imposables sur les biens et droits immobiliers situés en France et des parts ou actions de sociétés ou d’organismes à hauteur de la fraction de leur valeur représentative de biens et droits immobiliers situés en France (Métropole, Guadeloupe, Guyane, Martinique, Mayotte et La Réunion). L’IFI s’applique sous réserve des conventions internationales, il convient de bien étudié votre situation personnelle et surtout de vérifier si ces conventions ont été mises à jours entre l’IFI et l’ISF.</w:t>
      </w:r>
    </w:p>
    <w:p>
      <w:pPr>
        <w:spacing w:before="0" w:after="180" w:line="264" w:lineRule="auto"/>
        <w:ind w:firstLine="340"/>
        <w:jc w:val="both"/>
      </w:pPr>
      <w:r>
        <w:rPr>
          <w:rFonts w:ascii="Cambria" w:hAnsi="Cambria"/>
          <w:b w:val="0"/>
          <w:i w:val="0"/>
          <w:color w:val="141A21"/>
          <w:sz w:val="22"/>
        </w:rPr>
        <w:t>Sous réserve de différentes exonérations l’assiette de cet impôt est constituée par la valeur vénale réelle nette au 1er janvier de l’année des immeubles et droits sur ces immeuble (usufruit, droit d’usage, etc.) ci-dessus énoncés autres que ceux affectés par le propriétaire à sa propres activité professionnelle. Concernant la valeur vénale réelle nette des titres, elle doit être corrigée pour isoler de cette valeur que la fraction correspondant aux immeubles et droits immobiliers. Ceci dans le souci qu’une société propriétaire de biens et/ou de droits immobiliers, peut être évaluée à une somme de 1M€ mais que cette valeur de l’ensemble des titres ne corresponde pas qu’a la valeur de la partie immobilière. Bon d’accord je vous donne un exemple :</w:t>
      </w:r>
    </w:p>
    <w:p>
      <w:pPr>
        <w:spacing w:before="0" w:after="180" w:line="264" w:lineRule="auto"/>
        <w:ind w:firstLine="340"/>
        <w:jc w:val="both"/>
      </w:pPr>
      <w:r>
        <w:rPr>
          <w:rFonts w:ascii="Cambria" w:hAnsi="Cambria"/>
          <w:b w:val="0"/>
          <w:i w:val="0"/>
          <w:color w:val="141A21"/>
          <w:sz w:val="22"/>
        </w:rPr>
        <w:t>Un professionnel du chiffre évalue une société à la somme de 1M€.</w:t>
      </w:r>
    </w:p>
    <w:p>
      <w:pPr>
        <w:spacing w:before="0" w:after="180" w:line="264" w:lineRule="auto"/>
        <w:ind w:firstLine="340"/>
        <w:jc w:val="both"/>
      </w:pPr>
      <w:r>
        <w:rPr>
          <w:rFonts w:ascii="Cambria" w:hAnsi="Cambria"/>
          <w:b w:val="0"/>
          <w:i w:val="0"/>
          <w:color w:val="141A21"/>
          <w:sz w:val="22"/>
        </w:rPr>
        <w:t>Cette valorisation est en fait divisée en :</w:t>
      </w:r>
    </w:p>
    <w:p>
      <w:pPr>
        <w:spacing w:before="0" w:after="180" w:line="264" w:lineRule="auto"/>
        <w:ind w:firstLine="340"/>
        <w:jc w:val="both"/>
      </w:pPr>
      <w:r>
        <w:rPr>
          <w:rFonts w:ascii="Cambria" w:hAnsi="Cambria"/>
          <w:b w:val="0"/>
          <w:i w:val="0"/>
          <w:color w:val="141A21"/>
          <w:sz w:val="22"/>
        </w:rPr>
        <w:t>800K€ de valeur nette de biens immobiliers,</w:t>
      </w:r>
    </w:p>
    <w:p>
      <w:pPr>
        <w:spacing w:before="0" w:after="180" w:line="264" w:lineRule="auto"/>
        <w:ind w:firstLine="340"/>
        <w:jc w:val="both"/>
      </w:pPr>
      <w:r>
        <w:rPr>
          <w:rFonts w:ascii="Cambria" w:hAnsi="Cambria"/>
          <w:b w:val="0"/>
          <w:i w:val="0"/>
          <w:color w:val="141A21"/>
          <w:sz w:val="22"/>
        </w:rPr>
        <w:t>200K€ de fonds de commerce</w:t>
      </w:r>
    </w:p>
    <w:p>
      <w:pPr>
        <w:spacing w:before="0" w:after="180" w:line="264" w:lineRule="auto"/>
        <w:ind w:firstLine="340"/>
        <w:jc w:val="both"/>
      </w:pPr>
      <w:r>
        <w:rPr>
          <w:rFonts w:ascii="Cambria" w:hAnsi="Cambria"/>
          <w:b w:val="0"/>
          <w:i w:val="0"/>
          <w:color w:val="141A21"/>
          <w:sz w:val="22"/>
        </w:rPr>
        <w:t>La base imposable retenu sera de 800K€.</w:t>
      </w:r>
    </w:p>
    <w:p>
      <w:pPr>
        <w:spacing w:before="0" w:after="180" w:line="264" w:lineRule="auto"/>
        <w:ind w:firstLine="340"/>
        <w:jc w:val="both"/>
      </w:pPr>
      <w:r>
        <w:rPr>
          <w:rFonts w:ascii="Cambria" w:hAnsi="Cambria"/>
          <w:b w:val="0"/>
          <w:i w:val="0"/>
          <w:color w:val="141A21"/>
          <w:sz w:val="22"/>
        </w:rPr>
        <w:t>Si en plus vous détenez que 20% de la société, votre quotte part à déclarer concernant cette société et de 160K€ (20% de 800K€)</w:t>
      </w:r>
    </w:p>
    <w:p>
      <w:pPr>
        <w:spacing w:before="0" w:after="180" w:line="264" w:lineRule="auto"/>
        <w:ind w:firstLine="340"/>
        <w:jc w:val="both"/>
      </w:pPr>
      <w:r>
        <w:rPr>
          <w:rFonts w:ascii="Cambria" w:hAnsi="Cambria"/>
          <w:b w:val="0"/>
          <w:i w:val="0"/>
          <w:color w:val="141A21"/>
          <w:sz w:val="22"/>
        </w:rPr>
        <w:t>Sont exclus de la base imposable les points suivants :</w:t>
      </w:r>
    </w:p>
    <w:p>
      <w:pPr>
        <w:spacing w:before="0" w:after="180" w:line="264" w:lineRule="auto"/>
        <w:ind w:firstLine="340"/>
        <w:jc w:val="both"/>
      </w:pPr>
      <w:r>
        <w:rPr>
          <w:rFonts w:ascii="Cambria" w:hAnsi="Cambria"/>
          <w:b w:val="0"/>
          <w:i w:val="0"/>
          <w:color w:val="141A21"/>
          <w:sz w:val="22"/>
        </w:rPr>
        <w:t>les biens et droits immobiliers détenus directement par une société civile ou un organisme civil et affectés à la part de son activité de nature industrielle, commerciale, artisanale, agricole ou libérale en application de l’article 965, 2°, a du CGI. L’activité civile s’entend de l’activité de gestion de son propre patrimoine. Elle couvre des activités telles que la location de locaux commerciaux ou a usage d’habitation et nus ou meublés ;</w:t>
      </w:r>
    </w:p>
    <w:p>
      <w:pPr>
        <w:spacing w:before="0" w:after="180" w:line="264" w:lineRule="auto"/>
        <w:ind w:firstLine="340"/>
        <w:jc w:val="both"/>
      </w:pPr>
      <w:r>
        <w:rPr>
          <w:rFonts w:ascii="Cambria" w:hAnsi="Cambria"/>
          <w:b w:val="0"/>
          <w:i w:val="0"/>
          <w:color w:val="141A21"/>
          <w:sz w:val="22"/>
        </w:rPr>
        <w:t>les biens et droits des sociétés dont les contribuables déteignent directement ou indirectement, seul ou conjointement avec les autres membres de son foyer fiscal, moins de 10% du capital et des droits de vote. Cette tolérance ne s’applique pas si les personnes du foyer fiscal contrôlent au sens de l’article 150-0 B ter, III, 2° du CGI, ou si l’une de ces mêmes personnes se réserve la jouissance en fait ou en droit des biens ;</w:t>
      </w:r>
    </w:p>
    <w:p>
      <w:pPr>
        <w:spacing w:before="0" w:after="180" w:line="264" w:lineRule="auto"/>
        <w:ind w:firstLine="340"/>
        <w:jc w:val="both"/>
      </w:pPr>
      <w:r>
        <w:rPr>
          <w:rFonts w:ascii="Cambria" w:hAnsi="Cambria"/>
          <w:b w:val="0"/>
          <w:i w:val="0"/>
          <w:color w:val="141A21"/>
          <w:sz w:val="22"/>
        </w:rPr>
        <w:t>les biens ou droits immobiliers détenus directement ou indirectement par la société ou l’organisme, détenus par le foyer fiscal, affectés à son activité industrielle, commerciale, artisanale, agricole ou libérale ou si la société détient directement ou par personne interposée la majorité des droits de vote ou exerce en fait le pouvoir de décision. Cette disposition neutralise les mise à disposition intra-groupe sous réserve que les biens soient affectés à un activité économique, par exemple la filiale foncière d’un groupe qui met son actif immobilier à disposition de sa mère ou de ses sœurs</w:t>
      </w:r>
    </w:p>
    <w:p>
      <w:pPr>
        <w:spacing w:before="0" w:after="180" w:line="264" w:lineRule="auto"/>
        <w:ind w:firstLine="340"/>
        <w:jc w:val="both"/>
      </w:pPr>
      <w:r>
        <w:rPr>
          <w:rFonts w:ascii="Cambria" w:hAnsi="Cambria"/>
          <w:b w:val="0"/>
          <w:i w:val="0"/>
          <w:color w:val="141A21"/>
          <w:sz w:val="22"/>
        </w:rPr>
        <w:t>La loi précise la définition de l’activité industrielle, commerciale, artisanale, agricole ou libérale dans l’article 966 di CGI). N’est jamais considérée comme une telle activité la gestion de son propre patrimoine immobilier. Par détermination et malgré leur caractère apparemment civil, sont considérées comme des activités commerciales les activités de sociétés qui outre la gestion de leur filiales, participent activement à la conduite de la politique de leur groupe et au contrôle de leurs filiales et rendant des services spécifiques, administratifs, comptables, financier, juridiques et immobiliers, ce que nous appellerons des « holdings animatrices ».</w:t>
      </w:r>
    </w:p>
    <w:p>
      <w:pPr>
        <w:spacing w:before="0" w:after="180" w:line="264" w:lineRule="auto"/>
        <w:ind w:firstLine="340"/>
        <w:jc w:val="both"/>
      </w:pPr>
      <w:r>
        <w:rPr>
          <w:rFonts w:ascii="Cambria" w:hAnsi="Cambria"/>
          <w:b w:val="0"/>
          <w:i w:val="0"/>
          <w:color w:val="141A21"/>
          <w:sz w:val="22"/>
        </w:rPr>
        <w:t>Règles particulières pour la détermination de la base imposable :</w:t>
      </w:r>
    </w:p>
    <w:p>
      <w:pPr>
        <w:spacing w:before="0" w:after="180" w:line="264" w:lineRule="auto"/>
        <w:ind w:firstLine="340"/>
        <w:jc w:val="both"/>
      </w:pPr>
      <w:r>
        <w:rPr>
          <w:rFonts w:ascii="Cambria" w:hAnsi="Cambria"/>
          <w:b w:val="0"/>
          <w:i w:val="0"/>
          <w:color w:val="141A21"/>
          <w:sz w:val="22"/>
        </w:rPr>
        <w:t>Lorsqu’ils ne justifient pas avoir effectué les diligences qui leur incombent, les dirigeants de la société émettrice sont, pour le calcul de l’assiette de l’IFI et à défaut de preuve contraire, présumés être les propriétaires des titres qui ne revêtiraient pas la forme nominative ou qui n’auraient pas été vendues ;</w:t>
      </w:r>
    </w:p>
    <w:p>
      <w:pPr>
        <w:spacing w:before="0" w:after="180" w:line="264" w:lineRule="auto"/>
        <w:ind w:firstLine="340"/>
        <w:jc w:val="both"/>
      </w:pPr>
      <w:r>
        <w:rPr>
          <w:rFonts w:ascii="Cambria" w:hAnsi="Cambria"/>
          <w:b w:val="0"/>
          <w:i w:val="0"/>
          <w:color w:val="141A21"/>
          <w:sz w:val="22"/>
        </w:rPr>
        <w:t>Les usufruits légaux résultant de démembrements de propriété dans les cas de succession avec présence d’un conjoint survivant ;</w:t>
      </w:r>
    </w:p>
    <w:p>
      <w:pPr>
        <w:spacing w:before="0" w:after="180" w:line="264" w:lineRule="auto"/>
        <w:ind w:firstLine="340"/>
        <w:jc w:val="both"/>
      </w:pPr>
      <w:r>
        <w:rPr>
          <w:rFonts w:ascii="Cambria" w:hAnsi="Cambria"/>
          <w:b w:val="0"/>
          <w:i w:val="0"/>
          <w:color w:val="141A21"/>
          <w:sz w:val="22"/>
        </w:rPr>
        <w:t>Le démembrement de propriété résultant de la vente d’un bien dont le vendeur s’est réservé l’usufruit, le droit d’usage ou d’habitation lorsque l’acquéreur n’est pas un héritier, légataire ou donataire du redevable ou leurs descendants ;</w:t>
      </w:r>
    </w:p>
    <w:p>
      <w:pPr>
        <w:spacing w:before="0" w:after="180" w:line="264" w:lineRule="auto"/>
        <w:ind w:firstLine="340"/>
        <w:jc w:val="both"/>
      </w:pPr>
      <w:r>
        <w:rPr>
          <w:rFonts w:ascii="Cambria" w:hAnsi="Cambria"/>
          <w:b w:val="0"/>
          <w:i w:val="0"/>
          <w:color w:val="141A21"/>
          <w:sz w:val="22"/>
        </w:rPr>
        <w:t>L’usufruit ou droit d’usage ou d’habitation réservé par le donateur d’un bien ayant fait l’objet d’un don ou d’un legs à l’Etat, à un département, à une commune ou à un syndicat de communes ou à leurs établissements publics, à un établissement public national à caractère administratif ou à une association reconnue d’utilité publique. Est exclu de l’imposition l’usufruit conventionnel, par référence à l’article 1094-1 du Code civil, mais le conjoint survivant ayant hérité de l’usufruit en vertu d’une disposition testamentaire ou d’une donation du dernier survivant est redevable de l’IFI sur la valeur des biens en pleine propriété. L’article 1094-1 du code civil indique : « pour le cas où l’époux laisserait des enfants ou descendants, issu ou non du mariage, il pourra disposer en faveur de l’autre époux, soit de la propriété de ce dont il pourrait disposer en faveur d’un étranger, soit d’un quart de ses biens en propriété et des trois quart en usufruit, soit encore de la totalité de ses biens en usufruit seulement… »</w:t>
      </w:r>
    </w:p>
    <w:p>
      <w:pPr>
        <w:spacing w:before="0" w:after="180" w:line="264" w:lineRule="auto"/>
        <w:ind w:firstLine="340"/>
        <w:jc w:val="both"/>
      </w:pPr>
      <w:r>
        <w:rPr>
          <w:rFonts w:ascii="Cambria" w:hAnsi="Cambria"/>
          <w:b w:val="0"/>
          <w:i w:val="0"/>
          <w:color w:val="141A21"/>
          <w:sz w:val="22"/>
        </w:rPr>
        <w:t>Les actifs compris dans un contrat de tontine, c'est-à-dire un contrat d’acquisition en commun selon lequel la part du ou des premiers décédé reviendra aux survivants de telle sorte que le dernier vivant sera considéré comme le seul propriétaire de la totalité des biens, sont inclus dans le patrimoine de chacun des contractants au prorata des sommes investies par chacun des survivants dans le contrat ;</w:t>
      </w:r>
    </w:p>
    <w:p>
      <w:pPr>
        <w:spacing w:before="0" w:after="180" w:line="264" w:lineRule="auto"/>
        <w:ind w:firstLine="340"/>
        <w:jc w:val="both"/>
      </w:pPr>
      <w:r>
        <w:rPr>
          <w:rFonts w:ascii="Cambria" w:hAnsi="Cambria"/>
          <w:b w:val="0"/>
          <w:i w:val="0"/>
          <w:color w:val="141A21"/>
          <w:sz w:val="22"/>
        </w:rPr>
        <w:t>Les actifs imposables transférés dans un patrimoine fiduciaire ou ceux éventuellement acquis en remploi sont compris dans le patrimoine du constituant pour leur valeur vénale nette ;</w:t>
      </w:r>
    </w:p>
    <w:p>
      <w:pPr>
        <w:spacing w:before="0" w:after="180" w:line="264" w:lineRule="auto"/>
        <w:ind w:firstLine="340"/>
        <w:jc w:val="both"/>
      </w:pPr>
      <w:r>
        <w:rPr>
          <w:rFonts w:ascii="Cambria" w:hAnsi="Cambria"/>
          <w:b w:val="0"/>
          <w:i w:val="0"/>
          <w:color w:val="141A21"/>
          <w:sz w:val="22"/>
        </w:rPr>
        <w:t>Les droits afférents à un contrat de crédit-bail portant sur des biens imposables sont compris, sous déduction du montant des loyers et du montant de l’option d’achat restant à courir jusqu’à l’expiration du bail, dans le patrimoine du preneur, de même dans le cas d’un contrat de location-accession ;</w:t>
      </w:r>
    </w:p>
    <w:p>
      <w:pPr>
        <w:spacing w:before="0" w:after="180" w:line="264" w:lineRule="auto"/>
        <w:ind w:firstLine="340"/>
        <w:jc w:val="both"/>
      </w:pPr>
      <w:r>
        <w:rPr>
          <w:rFonts w:ascii="Cambria" w:hAnsi="Cambria"/>
          <w:b w:val="0"/>
          <w:i w:val="0"/>
          <w:color w:val="141A21"/>
          <w:sz w:val="22"/>
        </w:rPr>
        <w:t>La valeur de rachat d’un contrat d’assurance rachetable ou d’un contrat de capitalisation exprimé en unités de compte est incluse dans le patrimoine du souscripteur à hauteur de sa valeur représentative des actifs imposables. Les primes versée après l’âge de 70 ans sur des contrats d’assurance vie non rachetable ne sont pas concernés par l’IFI ;</w:t>
      </w:r>
    </w:p>
    <w:p>
      <w:pPr>
        <w:spacing w:before="0" w:after="180" w:line="264" w:lineRule="auto"/>
        <w:ind w:firstLine="340"/>
        <w:jc w:val="both"/>
      </w:pPr>
      <w:r>
        <w:rPr>
          <w:rFonts w:ascii="Cambria" w:hAnsi="Cambria"/>
          <w:b w:val="0"/>
          <w:i w:val="0"/>
          <w:color w:val="141A21"/>
          <w:sz w:val="22"/>
        </w:rPr>
        <w:t>Investissements réalisés dans des fonds de placement collectif en valeurs mobilière, des fonds d’investissement à vocation générale et d’autres où le foyer fiscal du contribuable détient moins de 10% de l’organisme ou que l’actif de l’organisme soit composé directement ou indirectement, à hauteur de moins de 20% de biens ou droits immobiliers imposables ;</w:t>
      </w:r>
    </w:p>
    <w:p>
      <w:pPr>
        <w:spacing w:before="0" w:after="180" w:line="264" w:lineRule="auto"/>
        <w:ind w:firstLine="340"/>
        <w:jc w:val="both"/>
      </w:pPr>
      <w:r>
        <w:rPr>
          <w:rFonts w:ascii="Cambria" w:hAnsi="Cambria"/>
          <w:b w:val="0"/>
          <w:i w:val="0"/>
          <w:color w:val="141A21"/>
          <w:sz w:val="22"/>
        </w:rPr>
        <w:t>Les actions de sociétés de SIIC (sociétés d’investissements immobiliers cotées), lorsque le foyer fiscal du contribuable déteint moins de 5% du capital et des droits de vote de la société.</w:t>
      </w:r>
    </w:p>
    <w:p>
      <w:pPr>
        <w:spacing w:before="0" w:after="180" w:line="264" w:lineRule="auto"/>
        <w:ind w:firstLine="340"/>
        <w:jc w:val="both"/>
      </w:pPr>
      <w:r>
        <w:rPr>
          <w:rFonts w:ascii="Cambria" w:hAnsi="Cambria"/>
          <w:b w:val="0"/>
          <w:i w:val="0"/>
          <w:color w:val="141A21"/>
          <w:sz w:val="22"/>
        </w:rPr>
        <w:t>La règle d’évaluation des bien est calquée sur les règles en vigueur en matière de droits de mutation par décès, sauf pour la résidence principale qui bénéficie d’un abattement de 30% effectué sur la valeur vénale réelle lorsque l’immeuble st occupé par son propriétaire ce qui exclu les résidence principales détenue indirectement par une société ou un organisme et pour les valeurs mobilières cotées sur un marché sont évaluées selon le dernier cours connu ou selon la moyenne des trente derniers cours qui précèdent la date d’imposition. De plus des dispositions anti-abus sont applicables aux dettes présumées crées à des fins d’optimisation fiscale.</w:t>
      </w:r>
    </w:p>
    <w:p>
      <w:pPr>
        <w:spacing w:before="0" w:after="180" w:line="264" w:lineRule="auto"/>
        <w:ind w:firstLine="340"/>
        <w:jc w:val="both"/>
      </w:pPr>
      <w:r>
        <w:rPr>
          <w:rFonts w:ascii="Cambria" w:hAnsi="Cambria"/>
          <w:b w:val="0"/>
          <w:i w:val="0"/>
          <w:color w:val="141A21"/>
          <w:sz w:val="22"/>
        </w:rPr>
        <w:t>Le passif déductible est déterminé par les éléments suivants :</w:t>
      </w:r>
    </w:p>
    <w:p>
      <w:pPr>
        <w:spacing w:before="0" w:after="180" w:line="264" w:lineRule="auto"/>
        <w:ind w:firstLine="340"/>
        <w:jc w:val="both"/>
      </w:pPr>
      <w:r>
        <w:rPr>
          <w:rFonts w:ascii="Cambria" w:hAnsi="Cambria"/>
          <w:b w:val="0"/>
          <w:i w:val="0"/>
          <w:color w:val="141A21"/>
          <w:sz w:val="22"/>
        </w:rPr>
        <w:t>Aux dettes afférentes aux actifs imposables ;</w:t>
      </w:r>
    </w:p>
    <w:p>
      <w:pPr>
        <w:spacing w:before="0" w:after="180" w:line="264" w:lineRule="auto"/>
        <w:ind w:firstLine="340"/>
        <w:jc w:val="both"/>
      </w:pPr>
      <w:r>
        <w:rPr>
          <w:rFonts w:ascii="Cambria" w:hAnsi="Cambria"/>
          <w:b w:val="0"/>
          <w:i w:val="0"/>
          <w:color w:val="141A21"/>
          <w:sz w:val="22"/>
        </w:rPr>
        <w:t>Dans le cas des prêts prévoyant le remboursement de l’intégralité du capital au terme du contrat sont déductibles, chaque année, à hauteur du montant total de l’emprunt diminué d’une somme égale à ce même montant multiplié par le nombre d’années écoulées depuis le versement de l’emprunt et divisé par le nombre d’année total de l’emprunt. Une règle identique s’applique s’agissant des emprunts sans terme, lesquels sont réputés déductibles de manière linéaire selon la méthode décrite ci avant sur une période de 20 ans ;</w:t>
      </w:r>
    </w:p>
    <w:p>
      <w:pPr>
        <w:spacing w:before="0" w:after="180" w:line="264" w:lineRule="auto"/>
        <w:ind w:firstLine="340"/>
        <w:jc w:val="both"/>
      </w:pPr>
      <w:r>
        <w:rPr>
          <w:rFonts w:ascii="Cambria" w:hAnsi="Cambria"/>
          <w:b w:val="0"/>
          <w:i w:val="0"/>
          <w:color w:val="141A21"/>
          <w:sz w:val="22"/>
        </w:rPr>
        <w:t>Dans le cas des prêts contractés directement ou indirectement par l’intermédiaire d’une ou plusieurs sociétés ou organsines interposés auprès du redevable ou d’un membre du foyer fiscal, donc des prêts à soi-même la déductibilité est exclue, ou dans le cas des emprunts contractés auprès des ascendants, descendants, frères ou sœurs la déductibilité est réputés exclue sauf si le contribuable peut démontré le caractère normal notamment par le respect des remboursements des échéances et que les taux d’intérêt sont ceux du marché financier ;</w:t>
      </w:r>
    </w:p>
    <w:p>
      <w:pPr>
        <w:spacing w:before="0" w:after="180" w:line="264" w:lineRule="auto"/>
        <w:ind w:firstLine="340"/>
        <w:jc w:val="both"/>
      </w:pPr>
      <w:r>
        <w:rPr>
          <w:rFonts w:ascii="Cambria" w:hAnsi="Cambria"/>
          <w:b w:val="0"/>
          <w:i w:val="0"/>
          <w:color w:val="141A21"/>
          <w:sz w:val="22"/>
        </w:rPr>
        <w:t>La loi prévoit un dispositif de plafonnement de déductibilité afin de lutter contre de manœuvres d’optimisation fiscales. De ce fait lorsque le patrimoine taxable excède 5 millions d’euros et que le montant total des dettes admises en déduction excède 60% de cette valeur, le montant total des dettes excédant ce seuil n’est admis en déduction qu’à hauteur de 50% de cet excédent, si les dettes représentent 80% de la valeur du patrimoine taxable, le montant admis en déduction est de 70%. Le contribuable dispose toutefois de la possibilité de justifier que ce montant de dette n’a pas été contracté dans un objectif fiscal et demande à procéder à la déduction intégrale.</w:t>
      </w:r>
    </w:p>
    <w:p>
      <w:pPr>
        <w:spacing w:before="0" w:after="180" w:line="264" w:lineRule="auto"/>
        <w:ind w:firstLine="340"/>
        <w:jc w:val="both"/>
      </w:pPr>
      <w:r>
        <w:rPr>
          <w:rFonts w:ascii="Cambria" w:hAnsi="Cambria"/>
          <w:b w:val="0"/>
          <w:i w:val="0"/>
          <w:color w:val="141A21"/>
          <w:sz w:val="22"/>
        </w:rPr>
        <w:t>Les biens exonérés sont :</w:t>
      </w:r>
    </w:p>
    <w:p>
      <w:pPr>
        <w:spacing w:before="0" w:after="180" w:line="264" w:lineRule="auto"/>
        <w:ind w:firstLine="340"/>
        <w:jc w:val="both"/>
      </w:pPr>
      <w:r>
        <w:rPr>
          <w:rFonts w:ascii="Cambria" w:hAnsi="Cambria"/>
          <w:b w:val="0"/>
          <w:i w:val="0"/>
          <w:color w:val="141A21"/>
          <w:sz w:val="22"/>
        </w:rPr>
        <w:t>Biens affectés à l’activité professionnelle</w:t>
      </w:r>
    </w:p>
    <w:p>
      <w:pPr>
        <w:spacing w:before="0" w:after="180" w:line="264" w:lineRule="auto"/>
        <w:ind w:firstLine="340"/>
        <w:jc w:val="both"/>
      </w:pPr>
      <w:r>
        <w:rPr>
          <w:rFonts w:ascii="Cambria" w:hAnsi="Cambria"/>
          <w:b w:val="0"/>
          <w:i w:val="0"/>
          <w:color w:val="141A21"/>
          <w:sz w:val="22"/>
        </w:rPr>
        <w:t>Les biens affectés à l’activité principale exercée à titre professionnelle directement en nom propre ou via une société soumise à l’IS où le contribuable exerce une fonction de direction de manière effective et donnant lieu à une rémunération normale dans les catégories imposables à l’impôt sur le revenu des traitements et salaires, qu’il détienne au moins 25% des droits de vote attachés aux titres émis par la société ;</w:t>
      </w:r>
    </w:p>
    <w:p>
      <w:pPr>
        <w:spacing w:before="0" w:after="180" w:line="264" w:lineRule="auto"/>
        <w:ind w:firstLine="340"/>
        <w:jc w:val="both"/>
      </w:pPr>
      <w:r>
        <w:rPr>
          <w:rFonts w:ascii="Cambria" w:hAnsi="Cambria"/>
          <w:b w:val="0"/>
          <w:i w:val="0"/>
          <w:color w:val="141A21"/>
          <w:sz w:val="22"/>
        </w:rPr>
        <w:t>Les biens et droits immobiliers d’une société soumise à l’IS lorsque la valeur des titres que déteint le contribuable dans cette société excède 50% de la valeur brute du patrimoine total du redevable, y compris les biens et droits immobiliers précités.</w:t>
      </w:r>
    </w:p>
    <w:p>
      <w:pPr>
        <w:spacing w:before="0" w:after="180" w:line="264" w:lineRule="auto"/>
        <w:ind w:firstLine="340"/>
        <w:jc w:val="both"/>
      </w:pPr>
      <w:r>
        <w:rPr>
          <w:rFonts w:ascii="Cambria" w:hAnsi="Cambria"/>
          <w:b w:val="0"/>
          <w:i w:val="0"/>
          <w:color w:val="141A21"/>
          <w:sz w:val="22"/>
        </w:rPr>
        <w:t>Pour l’application de l’exonération, sont logiquement considérés comme des activités commerciales celles qualifiées de telles et vu précédemment. Le législateur a néanmoins ajouté deux cas intéressants pour l’exploitation par une personne physique ou par une société, d’une activité :</w:t>
      </w:r>
    </w:p>
    <w:p>
      <w:pPr>
        <w:spacing w:before="0" w:after="180" w:line="264" w:lineRule="auto"/>
        <w:ind w:firstLine="340"/>
        <w:jc w:val="both"/>
      </w:pPr>
      <w:r>
        <w:rPr>
          <w:rFonts w:ascii="Cambria" w:hAnsi="Cambria"/>
          <w:b w:val="0"/>
          <w:i w:val="0"/>
          <w:color w:val="141A21"/>
          <w:sz w:val="22"/>
        </w:rPr>
        <w:t>De location de locaux d’habitation loués meublés ou destinés à être loués meublés, sous réserve, s’agissant d’une personne physique, qu’elle réalise plus de 23K€ de recettes annuelles et retire de cette activité plus de 50% des revenus imposés à l’IR ;</w:t>
      </w:r>
    </w:p>
    <w:p>
      <w:pPr>
        <w:spacing w:before="0" w:after="180" w:line="264" w:lineRule="auto"/>
        <w:ind w:firstLine="340"/>
        <w:jc w:val="both"/>
      </w:pPr>
      <w:r>
        <w:rPr>
          <w:rFonts w:ascii="Cambria" w:hAnsi="Cambria"/>
          <w:b w:val="0"/>
          <w:i w:val="0"/>
          <w:color w:val="141A21"/>
          <w:sz w:val="22"/>
        </w:rPr>
        <w:t>De location d’établissements commerciaux ou industriels munis du mobilier ou du matériel nécessaire à leur exploitation.</w:t>
      </w:r>
    </w:p>
    <w:p>
      <w:pPr>
        <w:spacing w:before="0" w:after="180" w:line="264" w:lineRule="auto"/>
        <w:ind w:firstLine="340"/>
        <w:jc w:val="both"/>
      </w:pPr>
      <w:r>
        <w:rPr>
          <w:rFonts w:ascii="Cambria" w:hAnsi="Cambria"/>
          <w:b w:val="0"/>
          <w:i w:val="0"/>
          <w:color w:val="141A21"/>
          <w:sz w:val="22"/>
        </w:rPr>
        <w:t>Bois et forets, biens ruraux et parts de groupements forestiers</w:t>
      </w:r>
    </w:p>
    <w:p>
      <w:pPr>
        <w:spacing w:before="0" w:after="180" w:line="264" w:lineRule="auto"/>
        <w:ind w:firstLine="340"/>
        <w:jc w:val="both"/>
      </w:pPr>
      <w:r>
        <w:rPr>
          <w:rFonts w:ascii="Cambria" w:hAnsi="Cambria"/>
          <w:b w:val="0"/>
          <w:i w:val="0"/>
          <w:color w:val="141A21"/>
          <w:sz w:val="22"/>
        </w:rPr>
        <w:t>Les propriétés en nature de bois et forets sont exonérées à concurrence des 3/4 de leur valeur imposable si conditions sont satisfaites, comme l’obligation trentenaire de gestion durable ;</w:t>
      </w:r>
    </w:p>
    <w:p>
      <w:pPr>
        <w:spacing w:before="0" w:after="180" w:line="264" w:lineRule="auto"/>
        <w:ind w:firstLine="340"/>
        <w:jc w:val="both"/>
      </w:pPr>
      <w:r>
        <w:rPr>
          <w:rFonts w:ascii="Cambria" w:hAnsi="Cambria"/>
          <w:b w:val="0"/>
          <w:i w:val="0"/>
          <w:color w:val="141A21"/>
          <w:sz w:val="22"/>
        </w:rPr>
        <w:t>Les parts de groupements forestiers sont exonérées à concurrence des ¾ de la fraction de la valeur nette correspondant aux biens donnés à bail dans les conditions prévues par le Code rural et de la pêche maritime. L’exonération est de 50% pour la fraction des biens excédant une limite de 101 897€ ;</w:t>
      </w:r>
    </w:p>
    <w:p>
      <w:pPr>
        <w:spacing w:before="0" w:after="180" w:line="264" w:lineRule="auto"/>
        <w:ind w:firstLine="340"/>
        <w:jc w:val="both"/>
      </w:pPr>
      <w:r>
        <w:rPr>
          <w:rFonts w:ascii="Cambria" w:hAnsi="Cambria"/>
          <w:b w:val="0"/>
          <w:i w:val="0"/>
          <w:color w:val="141A21"/>
          <w:sz w:val="22"/>
        </w:rPr>
        <w:t>Les biens donnés à bail long terme ainsi qu’à bail cessible, dans les conditions prévues par le Code rural et de la pêche maritime comme le fait que le bail soit au minimum de 18 ans, que le preneur utilise le bien dans l’exercice de sa profession principale ou que le preneur soit le conjoint, le partenaire lié par un PACS ou le concubin notoire, un frère ou une sœur, un descendant ou ascendant. A défaut de remplir les 2 dernières conditions, les bien sont exonérés à concurrence des ¾ de leur valeur lorsque la valeur totale des biens loués n’excède pas 101 897€ et pour la moitié au delà de cette limite, sous réserve que la durée du bail soit au minimum de 18 ans et que les descendants du preneur ne soient pas contractuellement privés de la faculté de bénéficier de l’article L. 411-35 du Code rural et de la pèche maritime ;</w:t>
      </w:r>
    </w:p>
    <w:p>
      <w:pPr>
        <w:spacing w:before="0" w:after="180" w:line="264" w:lineRule="auto"/>
        <w:ind w:firstLine="340"/>
        <w:jc w:val="both"/>
      </w:pPr>
      <w:r>
        <w:rPr>
          <w:rFonts w:ascii="Cambria" w:hAnsi="Cambria"/>
          <w:b w:val="0"/>
          <w:i w:val="0"/>
          <w:color w:val="141A21"/>
          <w:sz w:val="22"/>
        </w:rPr>
        <w:t>Les parts de groupements fonciers agricoles et de groupements agricoles fonciers sont exonérés sous certaines réserves ;</w:t>
      </w:r>
    </w:p>
    <w:p>
      <w:pPr>
        <w:spacing w:before="0" w:after="180" w:line="264" w:lineRule="auto"/>
        <w:ind w:firstLine="340"/>
        <w:jc w:val="both"/>
      </w:pPr>
      <w:r>
        <w:rPr>
          <w:rFonts w:ascii="Cambria" w:hAnsi="Cambria"/>
          <w:b w:val="0"/>
          <w:i w:val="0"/>
          <w:color w:val="141A21"/>
          <w:sz w:val="22"/>
        </w:rPr>
        <w:t>Les parts de sociétés à objets principalement agricole dans les conditions prévues par le Code rural et de la pèche maritime.</w:t>
      </w:r>
    </w:p>
    <w:p>
      <w:pPr>
        <w:spacing w:before="0" w:after="180" w:line="264" w:lineRule="auto"/>
        <w:ind w:firstLine="340"/>
        <w:jc w:val="both"/>
      </w:pPr>
      <w:r>
        <w:rPr>
          <w:rFonts w:ascii="Cambria" w:hAnsi="Cambria"/>
          <w:b w:val="0"/>
          <w:i w:val="0"/>
          <w:color w:val="141A21"/>
          <w:sz w:val="22"/>
        </w:rPr>
        <w:t>Le tarif de l’IFI et ainsi fixé :</w:t>
      </w:r>
    </w:p>
    <w:p>
      <w:pPr>
        <w:spacing w:before="0" w:after="180" w:line="264" w:lineRule="auto"/>
        <w:ind w:firstLine="340"/>
        <w:jc w:val="both"/>
      </w:pPr>
      <w:r>
        <w:rPr>
          <w:rFonts w:ascii="Cambria" w:hAnsi="Cambria"/>
          <w:b w:val="0"/>
          <w:i w:val="0"/>
          <w:color w:val="141A21"/>
          <w:sz w:val="22"/>
        </w:rPr>
        <w:t>Valeur nette taxable n’excédant pas 800K€, le taux applicables est de 0 ;</w:t>
      </w:r>
    </w:p>
    <w:p>
      <w:pPr>
        <w:spacing w:before="0" w:after="180" w:line="264" w:lineRule="auto"/>
        <w:ind w:firstLine="340"/>
        <w:jc w:val="both"/>
      </w:pPr>
      <w:r>
        <w:rPr>
          <w:rFonts w:ascii="Cambria" w:hAnsi="Cambria"/>
          <w:b w:val="0"/>
          <w:i w:val="0"/>
          <w:color w:val="141A21"/>
          <w:sz w:val="22"/>
        </w:rPr>
        <w:t>Valeur nette taxable comprise entre 800K€ et 1,3M€, le taux applicables est de 0,50 ;</w:t>
      </w:r>
    </w:p>
    <w:p>
      <w:pPr>
        <w:spacing w:before="0" w:after="180" w:line="264" w:lineRule="auto"/>
        <w:ind w:firstLine="340"/>
        <w:jc w:val="both"/>
      </w:pPr>
      <w:r>
        <w:rPr>
          <w:rFonts w:ascii="Cambria" w:hAnsi="Cambria"/>
          <w:b w:val="0"/>
          <w:i w:val="0"/>
          <w:color w:val="141A21"/>
          <w:sz w:val="22"/>
        </w:rPr>
        <w:t>Valeur nette taxable comprise entre 1,3M€ et 2,570M€, le taux applicables est de 0,70 ;</w:t>
      </w:r>
    </w:p>
    <w:p>
      <w:pPr>
        <w:spacing w:before="0" w:after="180" w:line="264" w:lineRule="auto"/>
        <w:ind w:firstLine="340"/>
        <w:jc w:val="both"/>
      </w:pPr>
      <w:r>
        <w:rPr>
          <w:rFonts w:ascii="Cambria" w:hAnsi="Cambria"/>
          <w:b w:val="0"/>
          <w:i w:val="0"/>
          <w:color w:val="141A21"/>
          <w:sz w:val="22"/>
        </w:rPr>
        <w:t>Valeur nette taxable comprise entre 2,570€ et 5M€, le taux applicables est de 1 ;</w:t>
      </w:r>
    </w:p>
    <w:p>
      <w:pPr>
        <w:spacing w:before="0" w:after="180" w:line="264" w:lineRule="auto"/>
        <w:ind w:firstLine="340"/>
        <w:jc w:val="both"/>
      </w:pPr>
      <w:r>
        <w:rPr>
          <w:rFonts w:ascii="Cambria" w:hAnsi="Cambria"/>
          <w:b w:val="0"/>
          <w:i w:val="0"/>
          <w:color w:val="141A21"/>
          <w:sz w:val="22"/>
        </w:rPr>
        <w:t>Valeur nette taxable comprise entre 5M€ et 10M€, le taux applicables est de 1,25 ;</w:t>
      </w:r>
    </w:p>
    <w:p>
      <w:pPr>
        <w:spacing w:before="0" w:after="180" w:line="264" w:lineRule="auto"/>
        <w:ind w:firstLine="340"/>
        <w:jc w:val="both"/>
      </w:pPr>
      <w:r>
        <w:rPr>
          <w:rFonts w:ascii="Cambria" w:hAnsi="Cambria"/>
          <w:b w:val="0"/>
          <w:i w:val="0"/>
          <w:color w:val="141A21"/>
          <w:sz w:val="22"/>
        </w:rPr>
        <w:t>Valeur nette taxable supérieure à 10M€, le taux applicables est de 1,50 ;</w:t>
      </w:r>
    </w:p>
    <w:p>
      <w:pPr>
        <w:spacing w:before="0" w:after="180" w:line="264" w:lineRule="auto"/>
        <w:ind w:firstLine="340"/>
        <w:jc w:val="both"/>
      </w:pPr>
      <w:r>
        <w:rPr>
          <w:rFonts w:ascii="Cambria" w:hAnsi="Cambria"/>
          <w:b w:val="0"/>
          <w:i w:val="0"/>
          <w:color w:val="141A21"/>
          <w:sz w:val="22"/>
        </w:rPr>
        <w:t>La seule réduction possible est celle pour dons dans la limite de 50K€, 75% du montant des dons en numéraire et dons en pleine propriété de titres de sociétés admis aux négociations sur un marché réglementé français ou étranger effectués au profit de certains organismes.</w:t>
      </w:r>
    </w:p>
    <w:p>
      <w:pPr>
        <w:spacing w:before="0" w:after="180" w:line="264" w:lineRule="auto"/>
        <w:ind w:firstLine="340"/>
        <w:jc w:val="both"/>
      </w:pPr>
      <w:r>
        <w:rPr>
          <w:rFonts w:ascii="Cambria" w:hAnsi="Cambria"/>
          <w:b w:val="0"/>
          <w:i w:val="0"/>
          <w:color w:val="141A21"/>
          <w:sz w:val="22"/>
        </w:rPr>
        <w:t>Un mécanisme de plafonnement de l’IFI est instauré pour prévenir du caractère potentiellement confiscatoire du prélèvement. Pour le redevable ayant son domicile fiscal en franque, l’IFI est réduit de la différence entre d’une part, le total de cet impôt et des impôts dus en France et à l’étranger au titre des revenus et produits de l’année précédente, calculés avant imputation des seuls crédits d’impôt représentatifs d’une imposition acquittée à l’étranger et des retenues non libératoires ; d’autres part , 75% du total des revenus mondiaux nets de frais professionnels de l’année précédente, après déduction des seuls deficits catégoriels dont l’imputation est autorisée par l’article 156 du CGI, ainsi que des revenus exonérés d’impôts sur le revenu et des produits soumis à un prélèvement libératoire réalisés au couts de la même année en France ou hors de France. Les charges déductibles du revenu global comme les pensions alimentaires ne sont donc pas déductibles pour le calcul du plafonnement.</w:t>
      </w:r>
    </w:p>
    <w:p>
      <w:pPr>
        <w:spacing w:before="0" w:after="180" w:line="264" w:lineRule="auto"/>
        <w:ind w:firstLine="340"/>
        <w:jc w:val="both"/>
      </w:pPr>
      <w:r>
        <w:rPr>
          <w:rFonts w:ascii="Cambria" w:hAnsi="Cambria"/>
          <w:b w:val="0"/>
          <w:i w:val="0"/>
          <w:color w:val="141A21"/>
          <w:sz w:val="22"/>
        </w:rPr>
        <w:t>Pour l’imputation des impôts étrangers dont les caractéristiques sont similaires à celles de l’IFI acquittés hors de France est imputable sur l’impôt exigible en France. Cette imputation est limitée à l’IFI acquitté au titre des biens et droits immobiliers situés hors de France ou sur la valeur des parts et actions représentative de ces mêmes biens.</w:t>
      </w:r>
    </w:p>
    <w:p>
      <w:pPr>
        <w:spacing w:before="0" w:after="180" w:line="264" w:lineRule="auto"/>
        <w:ind w:firstLine="340"/>
        <w:jc w:val="both"/>
      </w:pPr>
      <w:r>
        <w:rPr>
          <w:rFonts w:ascii="Cambria" w:hAnsi="Cambria"/>
          <w:b w:val="0"/>
          <w:i w:val="0"/>
          <w:color w:val="141A21"/>
          <w:sz w:val="22"/>
        </w:rPr>
        <w:t>A la différence de l’ISF, pour l’IFI les redevables mentionnent la valeur brute et la valeur nette taxable des actifs imposables sur la déclaration annuelle prévue en matière d’impôt sur le revenu soit sur la déclaration 2042, en joignant en annexe les évaluations des actifs immobiliers. La déclaration est commune pour les conjoints, les partenaires liés par un PACS, et distinctes pour les époux séparés de biens et ne vivant plus sous le même toit ou en instance de séparation de corps ou de divorce ainsi que les concubins qui doivent portés sur leur propre déclaration leur évaluation.</w:t>
      </w:r>
    </w:p>
    <w:p>
      <w:pPr>
        <w:spacing w:before="0" w:after="180" w:line="264" w:lineRule="auto"/>
        <w:ind w:firstLine="340"/>
        <w:jc w:val="both"/>
      </w:pPr>
      <w:r>
        <w:rPr>
          <w:rFonts w:ascii="Cambria" w:hAnsi="Cambria"/>
          <w:b w:val="0"/>
          <w:i w:val="0"/>
          <w:color w:val="141A21"/>
          <w:sz w:val="22"/>
        </w:rPr>
        <w:t>Les personnes qui possèdent des actifs imposables situés en France et dont le domicile fiscal est situé hors de France, autres que dans un état de l’EEE (à l’exception du Liechtenstein), ainsi que les agents de l’état dans certains cas, peuvent être invités par l’Administration fiscale à désigner un représentant en France dans les conditions prévues à l’article 164 D du CGI.</w:t>
      </w:r>
    </w:p>
    <w:p>
      <w:pPr>
        <w:spacing w:before="0" w:after="180" w:line="264" w:lineRule="auto"/>
        <w:ind w:firstLine="340"/>
        <w:jc w:val="both"/>
      </w:pPr>
      <w:r>
        <w:rPr>
          <w:rFonts w:ascii="Cambria" w:hAnsi="Cambria"/>
          <w:b w:val="0"/>
          <w:i w:val="0"/>
          <w:color w:val="141A21"/>
          <w:sz w:val="22"/>
        </w:rPr>
        <w:t>L’IFI est recouvré en même temps que l’impôt sur le revenu.</w:t>
      </w:r>
    </w:p>
    <w:p>
      <w:pPr>
        <w:spacing w:before="0" w:after="180" w:line="264" w:lineRule="auto"/>
        <w:ind w:firstLine="340"/>
        <w:jc w:val="both"/>
      </w:pPr>
      <w:r>
        <w:rPr>
          <w:rFonts w:ascii="Cambria" w:hAnsi="Cambria"/>
          <w:b w:val="0"/>
          <w:i w:val="0"/>
          <w:color w:val="141A21"/>
          <w:sz w:val="22"/>
        </w:rPr>
        <w:t>Quelques remarques sur la fiscalité internationale. L’article 14 de la loi de finances rectificative de 2017 exclut de manière générale la déduction des impôts prélevés par un Etat ou un territoire étranger conformément à la convention fiscale internationale applicable ; la règle de non-déductibilité s’appliquera quelle que soit la rédaction des conventions, que celles-ci exclues ou pas la déductibilité. Le problème posé était que certaines conventions dans « leur rédaction » autorisaient la déduction de cet impôt réglé dans un autre Etat que d’autres conventions ne le stipulaient pas. Dans un souci d’égalité de traitement entre les contribuables et d’éviter des distorsions économiques, d’incertitude et de complicité et afin d’assurer l’application cohérente du principe fondant les conventions fiscales, à savoir l’élimination IN FINE de la double imposition et d’assurer une égalité de traitement à l’ensemble des contribuables qui se trouveraient dans une situation analogue et surtout en cas de report déficitaire lorsque l’entreprise redevient bénéficiaire. Néanmoins les travaux des parlementaires indiquent qu’il convient d’apprécier la double imposition au titre de chaque exercice et que de ce fait il n’y a plus de double imposition au titre d’un exercice déficitaire. Le principe du crédit d’impôt semble satisfaire plus de cas de figure.</w:t>
      </w:r>
    </w:p>
    <w:p>
      <w:pPr>
        <w:pStyle w:val="Heading3"/>
        <w:spacing w:before="400" w:after="100" w:line="276" w:lineRule="auto"/>
      </w:pPr>
      <w:r>
        <w:rPr>
          <w:rFonts w:ascii="Calibri" w:hAnsi="Calibri"/>
          <w:b/>
          <w:i w:val="0"/>
          <w:color w:val="141A21"/>
          <w:sz w:val="27"/>
        </w:rPr>
        <w:t>La fraude fiscale et le contrôle fiscal</w:t>
      </w:r>
    </w:p>
    <w:p>
      <w:pPr>
        <w:spacing w:before="0" w:after="180" w:line="264" w:lineRule="auto"/>
        <w:jc w:val="both"/>
      </w:pPr>
      <w:r>
        <w:rPr>
          <w:rFonts w:ascii="Cambria" w:hAnsi="Cambria"/>
          <w:b w:val="0"/>
          <w:i w:val="0"/>
          <w:color w:val="141A21"/>
          <w:sz w:val="22"/>
        </w:rPr>
        <w:t>N’oublions pas la fraude fiscale, grand projet de ce gouvernement. L’article 25 de la loi de finances rectificative de 2017, est favorable au contribuable puisqu’elle oblige l’Administration à prouver l’existence d’un montage artificiel lorsque l’entité juridique est situé dans un Etats membre de l’UE, ou un Etat ou territoire ayant conclu avec la France une convention d’assistance administrative en vue de lutter contre la fraude et l’évasion fiscales ainsi qu’une convention d’assistance mutuelle en matière de recouvrement en référence à la directive européenne, à condition que cet Etat ou territoire ne soit un Etat ou territoire non coopératif ( ETNC).</w:t>
      </w:r>
    </w:p>
    <w:p>
      <w:pPr>
        <w:spacing w:before="0" w:after="180" w:line="264" w:lineRule="auto"/>
        <w:ind w:firstLine="340"/>
        <w:jc w:val="both"/>
      </w:pPr>
      <w:r>
        <w:rPr>
          <w:rFonts w:ascii="Cambria" w:hAnsi="Cambria"/>
          <w:b w:val="0"/>
          <w:i w:val="0"/>
          <w:color w:val="141A21"/>
          <w:sz w:val="22"/>
        </w:rPr>
        <w:t>Lorsque l’entité juridique est située dans un autre Etat ou territoire, la présomption ne sera pas applicable seulement si la personne domiciliée en France démontre que l’exploitation de l’entreprise ou la détention des droits dans l’entité juridique a principalement un objet et un effet autres que de permettre la localisation de bénéfices ou de revenus dans un Etat ou territoire où elle est soumise à un régime fiscal plus avantageux. La charge de la preuve est donc au contribuable.</w:t>
      </w:r>
    </w:p>
    <w:p>
      <w:pPr>
        <w:spacing w:before="0" w:after="180" w:line="264" w:lineRule="auto"/>
        <w:ind w:firstLine="340"/>
        <w:jc w:val="both"/>
      </w:pPr>
      <w:r>
        <w:rPr>
          <w:rFonts w:ascii="Cambria" w:hAnsi="Cambria"/>
          <w:b w:val="0"/>
          <w:i w:val="0"/>
          <w:color w:val="141A21"/>
          <w:sz w:val="22"/>
        </w:rPr>
        <w:t>Et finissons par les sanctions, plus généralement définis comme « contrôle fiscal ». au préalable je voudrais vous informer sur un point très important pour les professionnels avec qui vous aller travailler et pour lesquels il faut que vous compreniez que l’Administration dans sa grande bonté, les oblige à certaines choses.</w:t>
      </w:r>
    </w:p>
    <w:p>
      <w:pPr>
        <w:spacing w:before="0" w:after="180" w:line="264" w:lineRule="auto"/>
        <w:ind w:firstLine="340"/>
        <w:jc w:val="both"/>
      </w:pPr>
      <w:r>
        <w:rPr>
          <w:rFonts w:ascii="Cambria" w:hAnsi="Cambria"/>
          <w:b w:val="0"/>
          <w:i w:val="0"/>
          <w:color w:val="141A21"/>
          <w:sz w:val="22"/>
        </w:rPr>
        <w:t>L’article 109 de la loi de finances de 2018 instaure un droit de communication en faveur de l’administration fiscale à l’égard des personnes soumises à l’obligation de vigilance en matière de blanchiment des capitaux et le financement du terrorisme à compter du 1er janvier 2018. Ce droit de communication porte sur les documents et informations détenues dans le cadre de leurs obligations de vigilance par les personnes soumises à ces obligations :</w:t>
      </w:r>
    </w:p>
    <w:p>
      <w:pPr>
        <w:spacing w:before="0" w:after="180" w:line="264" w:lineRule="auto"/>
        <w:ind w:firstLine="340"/>
        <w:jc w:val="both"/>
      </w:pPr>
      <w:r>
        <w:rPr>
          <w:rFonts w:ascii="Cambria" w:hAnsi="Cambria"/>
          <w:b w:val="0"/>
          <w:i w:val="0"/>
          <w:color w:val="141A21"/>
          <w:sz w:val="22"/>
        </w:rPr>
        <w:t>Les experts-comptables et les salariés autorisés à exercer la profession d’experts-comptables ;</w:t>
      </w:r>
    </w:p>
    <w:p>
      <w:pPr>
        <w:spacing w:before="0" w:after="180" w:line="264" w:lineRule="auto"/>
        <w:ind w:firstLine="340"/>
        <w:jc w:val="both"/>
      </w:pPr>
      <w:r>
        <w:rPr>
          <w:rFonts w:ascii="Cambria" w:hAnsi="Cambria"/>
          <w:b w:val="0"/>
          <w:i w:val="0"/>
          <w:color w:val="141A21"/>
          <w:sz w:val="22"/>
        </w:rPr>
        <w:t>Les commissaires aux comptes ;</w:t>
      </w:r>
    </w:p>
    <w:p>
      <w:pPr>
        <w:spacing w:before="0" w:after="180" w:line="264" w:lineRule="auto"/>
        <w:ind w:firstLine="340"/>
        <w:jc w:val="both"/>
      </w:pPr>
      <w:r>
        <w:rPr>
          <w:rFonts w:ascii="Cambria" w:hAnsi="Cambria"/>
          <w:b w:val="0"/>
          <w:i w:val="0"/>
          <w:color w:val="141A21"/>
          <w:sz w:val="22"/>
        </w:rPr>
        <w:t>Les avocats au Conseil d’Etat et à la Cour de cassation, les avocats, les notaires, les huissiers de justice, les administrateurs judicaires, les mandataires judicaires et les commissaires-priseurs judicaires ;</w:t>
      </w:r>
    </w:p>
    <w:p>
      <w:pPr>
        <w:spacing w:before="0" w:after="180" w:line="264" w:lineRule="auto"/>
        <w:ind w:firstLine="340"/>
        <w:jc w:val="both"/>
      </w:pPr>
      <w:r>
        <w:rPr>
          <w:rFonts w:ascii="Cambria" w:hAnsi="Cambria"/>
          <w:b w:val="0"/>
          <w:i w:val="0"/>
          <w:color w:val="141A21"/>
          <w:sz w:val="22"/>
        </w:rPr>
        <w:t>Les opérateurs de ventes volontaires de meubles aux enchères publiques ;</w:t>
      </w:r>
    </w:p>
    <w:p>
      <w:pPr>
        <w:spacing w:before="0" w:after="180" w:line="264" w:lineRule="auto"/>
        <w:ind w:firstLine="340"/>
        <w:jc w:val="both"/>
      </w:pPr>
      <w:r>
        <w:rPr>
          <w:rFonts w:ascii="Cambria" w:hAnsi="Cambria"/>
          <w:b w:val="0"/>
          <w:i w:val="0"/>
          <w:color w:val="141A21"/>
          <w:sz w:val="22"/>
        </w:rPr>
        <w:t>Les personnes exerçant l’activité de domiciliation ;</w:t>
      </w:r>
    </w:p>
    <w:p>
      <w:pPr>
        <w:spacing w:before="0" w:after="180" w:line="264" w:lineRule="auto"/>
        <w:ind w:firstLine="340"/>
        <w:jc w:val="both"/>
      </w:pPr>
      <w:r>
        <w:rPr>
          <w:rFonts w:ascii="Cambria" w:hAnsi="Cambria"/>
          <w:b w:val="0"/>
          <w:i w:val="0"/>
          <w:color w:val="141A21"/>
          <w:sz w:val="22"/>
        </w:rPr>
        <w:t>Les personnes exerçant l’activité d’agents sportifs ;</w:t>
      </w:r>
    </w:p>
    <w:p>
      <w:pPr>
        <w:spacing w:before="0" w:after="180" w:line="264" w:lineRule="auto"/>
        <w:ind w:firstLine="340"/>
        <w:jc w:val="both"/>
      </w:pPr>
      <w:r>
        <w:rPr>
          <w:rFonts w:ascii="Cambria" w:hAnsi="Cambria"/>
          <w:b w:val="0"/>
          <w:i w:val="0"/>
          <w:color w:val="141A21"/>
          <w:sz w:val="22"/>
        </w:rPr>
        <w:t>Les institutions financières ;</w:t>
      </w:r>
    </w:p>
    <w:p>
      <w:pPr>
        <w:spacing w:before="0" w:after="180" w:line="264" w:lineRule="auto"/>
        <w:ind w:firstLine="340"/>
        <w:jc w:val="both"/>
      </w:pPr>
      <w:r>
        <w:rPr>
          <w:rFonts w:ascii="Cambria" w:hAnsi="Cambria"/>
          <w:b w:val="0"/>
          <w:i w:val="0"/>
          <w:color w:val="141A21"/>
          <w:sz w:val="22"/>
        </w:rPr>
        <w:t>Les entreprises offrant des prestations d’assurances et de prévoyance ;</w:t>
      </w:r>
    </w:p>
    <w:p>
      <w:pPr>
        <w:spacing w:before="0" w:after="180" w:line="264" w:lineRule="auto"/>
        <w:ind w:firstLine="340"/>
        <w:jc w:val="both"/>
      </w:pPr>
      <w:r>
        <w:rPr>
          <w:rFonts w:ascii="Cambria" w:hAnsi="Cambria"/>
          <w:b w:val="0"/>
          <w:i w:val="0"/>
          <w:color w:val="141A21"/>
          <w:sz w:val="22"/>
        </w:rPr>
        <w:t>Les fonds de retraite professionnelle supplémentaire et les institutions de retraite professionnelle supplémentaire ;</w:t>
      </w:r>
    </w:p>
    <w:p>
      <w:pPr>
        <w:spacing w:before="0" w:after="180" w:line="264" w:lineRule="auto"/>
        <w:ind w:firstLine="340"/>
        <w:jc w:val="both"/>
      </w:pPr>
      <w:r>
        <w:rPr>
          <w:rFonts w:ascii="Cambria" w:hAnsi="Cambria"/>
          <w:b w:val="0"/>
          <w:i w:val="0"/>
          <w:color w:val="141A21"/>
          <w:sz w:val="22"/>
        </w:rPr>
        <w:t>Les entreprises d’investissement ;</w:t>
      </w:r>
    </w:p>
    <w:p>
      <w:pPr>
        <w:spacing w:before="0" w:after="180" w:line="264" w:lineRule="auto"/>
        <w:ind w:firstLine="340"/>
        <w:jc w:val="both"/>
      </w:pPr>
      <w:r>
        <w:rPr>
          <w:rFonts w:ascii="Cambria" w:hAnsi="Cambria"/>
          <w:b w:val="0"/>
          <w:i w:val="0"/>
          <w:color w:val="141A21"/>
          <w:sz w:val="22"/>
        </w:rPr>
        <w:t>Les agents immobiliers et les syndics de copropriété ;</w:t>
      </w:r>
    </w:p>
    <w:p>
      <w:pPr>
        <w:spacing w:before="0" w:after="180" w:line="264" w:lineRule="auto"/>
        <w:ind w:firstLine="340"/>
        <w:jc w:val="both"/>
      </w:pPr>
      <w:r>
        <w:rPr>
          <w:rFonts w:ascii="Cambria" w:hAnsi="Cambria"/>
          <w:b w:val="0"/>
          <w:i w:val="0"/>
          <w:color w:val="141A21"/>
          <w:sz w:val="22"/>
        </w:rPr>
        <w:t>Les opérateurs de jeux ou de paris autorisés ;</w:t>
      </w:r>
    </w:p>
    <w:p>
      <w:pPr>
        <w:spacing w:before="0" w:after="180" w:line="264" w:lineRule="auto"/>
        <w:ind w:firstLine="340"/>
        <w:jc w:val="both"/>
      </w:pPr>
      <w:r>
        <w:rPr>
          <w:rFonts w:ascii="Cambria" w:hAnsi="Cambria"/>
          <w:b w:val="0"/>
          <w:i w:val="0"/>
          <w:color w:val="141A21"/>
          <w:sz w:val="22"/>
        </w:rPr>
        <w:t>Les personnes se livrant habituellement au commerce d’antiquités et d’œuvres d’art.</w:t>
      </w:r>
    </w:p>
    <w:p>
      <w:pPr>
        <w:spacing w:before="0" w:after="180" w:line="264" w:lineRule="auto"/>
        <w:ind w:firstLine="340"/>
        <w:jc w:val="both"/>
      </w:pPr>
      <w:r>
        <w:rPr>
          <w:rFonts w:ascii="Cambria" w:hAnsi="Cambria"/>
          <w:b w:val="0"/>
          <w:i w:val="0"/>
          <w:color w:val="141A21"/>
          <w:sz w:val="22"/>
        </w:rPr>
        <w:t>Toutes ces personnes ont l’obligation de communication des infirmations, la sanction de droit commun en matière de droit de communication est applicable, soit 5 000€ pour chaque demande dès lors que tout ou partie des documents ou renseignements sollicités ne sont pas communiqués, pour 2018 et de 10 000€ à compter du 1er janvier 2019. Vous comprenez mieux pourquoi dans certaines situations VOTRE PARTENAIRE s’assure de la véracité de certains documents ou transaction financière.</w:t>
      </w:r>
    </w:p>
    <w:p>
      <w:pPr>
        <w:spacing w:before="0" w:after="180" w:line="264" w:lineRule="auto"/>
        <w:ind w:firstLine="340"/>
        <w:jc w:val="both"/>
      </w:pPr>
      <w:r>
        <w:rPr>
          <w:rFonts w:ascii="Cambria" w:hAnsi="Cambria"/>
          <w:b w:val="0"/>
          <w:i w:val="0"/>
          <w:color w:val="141A21"/>
          <w:sz w:val="22"/>
        </w:rPr>
        <w:t>Les sanctions applicables en cas de fraude fiscale commis en bande organisée ou réalisés par les moyens justifiant la sanction majorée sont renforcées par l’article 106 de la loi de finances de 2018. L’amende est portée de 2 M€ à 3 M€ et de sept ans maximum d’emprisonnement ainsi que le prononcé obligatoire pour une durée maximale de cinq ans, sauf décision du juge spécialement motivé, d’interdiction des droits civiques, civils et de famille. Cette interdiction est portée à dix ans s’il s’agir d’une personne exerçant une fonction de membre du Gouvernement ou un mandat électif public au moment des faits. La condamnation à l’inéligibilité est mentionnée pendant toute sa durée au bulletin n°2 du casier judicaire</w:t>
      </w:r>
    </w:p>
    <w:p>
      <w:pPr>
        <w:spacing w:before="0" w:after="180" w:line="264" w:lineRule="auto"/>
        <w:ind w:firstLine="340"/>
        <w:jc w:val="both"/>
      </w:pPr>
      <w:r>
        <w:rPr>
          <w:rFonts w:ascii="Cambria" w:hAnsi="Cambria"/>
          <w:b w:val="0"/>
          <w:i w:val="0"/>
          <w:color w:val="141A21"/>
          <w:sz w:val="22"/>
        </w:rPr>
        <w:t>Je ne vais pas vous assommer avec l’obligation à compter du 1er janvier 2018, pour les assujettis à la TVA qui enregistrent les règlements de leurs clients d’utiliser un logiciel ou système de comptabilité, de gestion ou de caisse certifié, ni sur la taxe sur les salaires qui est due par tous les employeurs (plusieurs cas d’exonération existants) domiciliés en France qui ne sont pas assujettis à la TVA, ni sur le taux d’intérêt de retard des intérêts moratoires passé à 2,40% par an lorsque l’Etat vous doit une créance.</w:t>
      </w:r>
    </w:p>
    <w:p>
      <w:pPr>
        <w:spacing w:before="0" w:after="180" w:line="264" w:lineRule="auto"/>
        <w:ind w:firstLine="340"/>
        <w:jc w:val="both"/>
      </w:pPr>
      <w:r>
        <w:rPr>
          <w:rFonts w:ascii="Cambria" w:hAnsi="Cambria"/>
          <w:b w:val="0"/>
          <w:i w:val="0"/>
          <w:color w:val="141A21"/>
          <w:sz w:val="22"/>
        </w:rPr>
        <w:t>Vous voyez c’est simple je ne comprends pas mon ami Cédric qui dit avoir besoin d’un DOLIPRANE quant il discute avec moi.</w:t>
      </w:r>
    </w:p>
    <w:p>
      <w:pPr>
        <w:spacing w:before="0" w:after="180" w:line="264" w:lineRule="auto"/>
        <w:ind w:firstLine="340"/>
        <w:jc w:val="both"/>
      </w:pPr>
      <w:r>
        <w:rPr>
          <w:rFonts w:ascii="Cambria" w:hAnsi="Cambria"/>
          <w:b w:val="0"/>
          <w:i w:val="0"/>
          <w:color w:val="141A21"/>
          <w:sz w:val="22"/>
        </w:rPr>
        <w:t>Espérons néanmoins que l’actuel locataire du palais de l’Elysée ne fera pas comme l’ancien, en annulant toutes les réformes faites par son prédécesseur, car dans ce cas c’est sûr la fiscalité en prendra un coup.</w:t>
      </w:r>
    </w:p>
    <w:p>
      <w:pPr>
        <w:spacing w:before="0" w:after="180" w:line="264" w:lineRule="auto"/>
        <w:ind w:firstLine="340"/>
        <w:jc w:val="both"/>
      </w:pPr>
      <w:r>
        <w:rPr>
          <w:rFonts w:ascii="Cambria" w:hAnsi="Cambria"/>
          <w:b w:val="0"/>
          <w:i w:val="0"/>
          <w:color w:val="141A21"/>
          <w:sz w:val="22"/>
        </w:rPr>
        <w:t>Vous pouvez compléter ces informations car j’ai essayé d’être précis et concis à la fois en vous renseignant sur les textes fiscaux en consultant internet, néanmoins faites toujours très attention aux informations qui circulent sur la toile car les « posteurs » d’infos ne sont pas toujours des professionnels et souvent ils vous expliquent ce qu’ils ont compris et parfois ce n’est pas la « vérité » et surtout ce n’est pas applicable à votre cas.</w:t>
      </w:r>
    </w:p>
    <w:p>
      <w:pPr>
        <w:spacing w:before="0" w:after="180" w:line="264" w:lineRule="auto"/>
        <w:ind w:firstLine="340"/>
        <w:jc w:val="both"/>
      </w:pPr>
      <w:r>
        <w:rPr>
          <w:rFonts w:ascii="Cambria" w:hAnsi="Cambria"/>
          <w:b w:val="0"/>
          <w:i w:val="0"/>
          <w:color w:val="141A21"/>
          <w:sz w:val="22"/>
        </w:rPr>
        <w:t>Vous pouvez vous connecter au site des experts-comptables vous y trouverez de la documentation validée et surtout l’équipe INFODOC fait un très bon travail pour simplifier dans leur explication l’application des textes.</w:t>
      </w:r>
    </w:p>
    <w:p>
      <w:r>
        <w:br w:type="page"/>
      </w:r>
    </w:p>
    <w:p>
      <w:pPr>
        <w:pStyle w:val="Heading2"/>
        <w:spacing w:before="240" w:after="200" w:line="276" w:lineRule="auto"/>
      </w:pPr>
      <w:r>
        <w:rPr>
          <w:rFonts w:ascii="Calibri" w:hAnsi="Calibri"/>
          <w:b/>
          <w:i w:val="0"/>
          <w:color w:val="3A5488"/>
          <w:sz w:val="36"/>
        </w:rPr>
        <w:t>Chapitre 14 — Rédiger les bons statuts</w:t>
      </w:r>
    </w:p>
    <w:p>
      <w:pPr>
        <w:spacing w:before="0" w:after="180" w:line="264" w:lineRule="auto"/>
        <w:jc w:val="both"/>
      </w:pPr>
      <w:r>
        <w:rPr>
          <w:rFonts w:ascii="Cambria" w:hAnsi="Cambria"/>
          <w:b w:val="0"/>
          <w:i w:val="0"/>
          <w:color w:val="141A21"/>
          <w:sz w:val="22"/>
        </w:rPr>
        <w:t>Question qu’il faut absolument se poser avant de faire une société</w:t>
      </w:r>
    </w:p>
    <w:p>
      <w:pPr>
        <w:spacing w:before="0" w:after="180" w:line="264" w:lineRule="auto"/>
        <w:ind w:firstLine="340"/>
        <w:jc w:val="both"/>
      </w:pPr>
      <w:r>
        <w:rPr>
          <w:rFonts w:ascii="Cambria" w:hAnsi="Cambria"/>
          <w:b w:val="0"/>
          <w:i w:val="0"/>
          <w:color w:val="141A21"/>
          <w:sz w:val="22"/>
        </w:rPr>
        <w:t>Rédiger les bons statuts</w:t>
      </w:r>
    </w:p>
    <w:p>
      <w:pPr>
        <w:spacing w:before="0" w:after="180" w:line="264" w:lineRule="auto"/>
        <w:ind w:firstLine="340"/>
        <w:jc w:val="both"/>
      </w:pPr>
      <w:r>
        <w:rPr>
          <w:rFonts w:ascii="Cambria" w:hAnsi="Cambria"/>
          <w:b w:val="0"/>
          <w:i w:val="0"/>
          <w:color w:val="141A21"/>
          <w:sz w:val="22"/>
        </w:rPr>
        <w:t>De façon plus pratique, les statuts d’une société sont un document juridique, un acte comme disent les puristes. Cet acte a pour vocation de gérer l’organisation de votre société pendant toute sa vie et on rappelle que sa vie peut être renouveler tout les 99 ans, ad vitam aeternam.</w:t>
      </w:r>
    </w:p>
    <w:p>
      <w:pPr>
        <w:spacing w:before="0" w:after="180" w:line="264" w:lineRule="auto"/>
        <w:ind w:firstLine="340"/>
        <w:jc w:val="both"/>
      </w:pPr>
      <w:r>
        <w:rPr>
          <w:rFonts w:ascii="Cambria" w:hAnsi="Cambria"/>
          <w:b w:val="0"/>
          <w:i w:val="0"/>
          <w:color w:val="141A21"/>
          <w:sz w:val="22"/>
        </w:rPr>
        <w:t>Donc nous avons compris que c’est l’acte le plus important de votre société.</w:t>
      </w:r>
    </w:p>
    <w:p>
      <w:pPr>
        <w:spacing w:before="0" w:after="180" w:line="264" w:lineRule="auto"/>
        <w:ind w:firstLine="340"/>
        <w:jc w:val="both"/>
      </w:pPr>
      <w:r>
        <w:rPr>
          <w:rFonts w:ascii="Cambria" w:hAnsi="Cambria"/>
          <w:b w:val="0"/>
          <w:i w:val="0"/>
          <w:color w:val="141A21"/>
          <w:sz w:val="22"/>
        </w:rPr>
        <w:t>Ce document va prévoir la solution aux problèmes quand ils arriveront et même s’ils n’arrivent pas, on saura comment faire, comme un contrat de mariage qui prévoit la plupart du temps l’organisation en cas de séparation et nous sommes bien d’accord (je fais attention car j’espère bien que mon épouse lira ces quelques lignes) que lors de la signature de ce contrat nous espérons tous ne pas divorcer.</w:t>
      </w:r>
    </w:p>
    <w:p>
      <w:pPr>
        <w:spacing w:before="0" w:after="180" w:line="264" w:lineRule="auto"/>
        <w:ind w:firstLine="340"/>
        <w:jc w:val="both"/>
      </w:pPr>
      <w:r>
        <w:rPr>
          <w:rFonts w:ascii="Cambria" w:hAnsi="Cambria"/>
          <w:b w:val="0"/>
          <w:i w:val="0"/>
          <w:color w:val="141A21"/>
          <w:sz w:val="22"/>
        </w:rPr>
        <w:t>Cet acte prend sa source dans un autre document de droit, l’article 1134 du code civil, qui dit que « les conventions légalement formées tiennent lieu de loi à ceux qui les ont faites. Elles ne peuvent être révoquées que de leur consentement mutuel, ou pour les causes que la loi autorise. Elles doivent être exécutées de bonne foi ».</w:t>
      </w:r>
    </w:p>
    <w:p>
      <w:pPr>
        <w:spacing w:before="0" w:after="180" w:line="264" w:lineRule="auto"/>
        <w:ind w:firstLine="340"/>
        <w:jc w:val="both"/>
      </w:pPr>
      <w:r>
        <w:rPr>
          <w:rFonts w:ascii="Cambria" w:hAnsi="Cambria"/>
          <w:b w:val="0"/>
          <w:i w:val="0"/>
          <w:color w:val="141A21"/>
          <w:sz w:val="22"/>
        </w:rPr>
        <w:t>Dans la pratique, en dehors du fait si vous êtes seul associé (et encore), les statuts prévoient la répartition des responsabilités entre les associés, les pouvoirs de la direction, le départ d’un associé ou les conséquences de son décès ; nous allons détailler ces différents éléments dans l’ordre de présentation dans les statuts ce que nous appelons en droit les articles :</w:t>
      </w:r>
    </w:p>
    <w:p>
      <w:pPr>
        <w:pStyle w:val="Heading3"/>
        <w:spacing w:before="400" w:after="100" w:line="276" w:lineRule="auto"/>
      </w:pPr>
      <w:r>
        <w:rPr>
          <w:rFonts w:ascii="Calibri" w:hAnsi="Calibri"/>
          <w:b/>
          <w:i w:val="0"/>
          <w:color w:val="141A21"/>
          <w:sz w:val="27"/>
        </w:rPr>
        <w:t>Les associés</w:t>
      </w:r>
    </w:p>
    <w:p>
      <w:pPr>
        <w:spacing w:before="0" w:after="180" w:line="264" w:lineRule="auto"/>
        <w:jc w:val="both"/>
      </w:pPr>
      <w:r>
        <w:rPr>
          <w:rFonts w:ascii="Cambria" w:hAnsi="Cambria"/>
          <w:b w:val="0"/>
          <w:i w:val="0"/>
          <w:color w:val="141A21"/>
          <w:sz w:val="22"/>
        </w:rPr>
        <w:t>Evidement ce paragraphe n’intéresse pas l’associé de société unipersonnelle.</w:t>
      </w:r>
    </w:p>
    <w:p>
      <w:pPr>
        <w:spacing w:before="0" w:after="180" w:line="264" w:lineRule="auto"/>
        <w:ind w:firstLine="340"/>
        <w:jc w:val="both"/>
      </w:pPr>
      <w:r>
        <w:rPr>
          <w:rFonts w:ascii="Cambria" w:hAnsi="Cambria"/>
          <w:b w:val="0"/>
          <w:i w:val="0"/>
          <w:color w:val="141A21"/>
          <w:sz w:val="22"/>
        </w:rPr>
        <w:t>Avant toute chose il faut savoir avec qui vous vous associez, c’est l’affectio societatis, je répéterai jamais assez c’est un élément majeur de votre société.</w:t>
      </w:r>
    </w:p>
    <w:p>
      <w:pPr>
        <w:spacing w:before="0" w:after="180" w:line="264" w:lineRule="auto"/>
        <w:ind w:firstLine="340"/>
        <w:jc w:val="both"/>
      </w:pPr>
      <w:r>
        <w:rPr>
          <w:rFonts w:ascii="Cambria" w:hAnsi="Cambria"/>
          <w:b w:val="0"/>
          <w:i w:val="0"/>
          <w:color w:val="141A21"/>
          <w:sz w:val="22"/>
        </w:rPr>
        <w:t>Choisissez bien « votre équipe », des Hommes, personnes physiques ou des Hommes par l’intermédiaire de sociétés, avec qui vous avez envie de faire « un bout de brousse » (comme disent les bouchmans dans les dieux sont tombés sur la tête). En effet des sociétés peuvent devenir associés d’autres sociétés sous certaines forme juridique ; certaines sociétés civiles ne peuvent avoir que des personnes physiques comme associés.</w:t>
      </w:r>
    </w:p>
    <w:p>
      <w:pPr>
        <w:pStyle w:val="Heading3"/>
        <w:spacing w:before="400" w:after="100" w:line="276" w:lineRule="auto"/>
      </w:pPr>
      <w:r>
        <w:rPr>
          <w:rFonts w:ascii="Calibri" w:hAnsi="Calibri"/>
          <w:b/>
          <w:i w:val="0"/>
          <w:color w:val="141A21"/>
          <w:sz w:val="27"/>
        </w:rPr>
        <w:t>La répartition du capital</w:t>
      </w:r>
    </w:p>
    <w:p>
      <w:pPr>
        <w:spacing w:before="0" w:after="180" w:line="264" w:lineRule="auto"/>
        <w:jc w:val="both"/>
      </w:pPr>
      <w:r>
        <w:rPr>
          <w:rFonts w:ascii="Cambria" w:hAnsi="Cambria"/>
          <w:b w:val="0"/>
          <w:i w:val="0"/>
          <w:color w:val="141A21"/>
          <w:sz w:val="22"/>
        </w:rPr>
        <w:t>C’est a ce moment la que vous distribuez le pouvoir.</w:t>
      </w:r>
    </w:p>
    <w:p>
      <w:pPr>
        <w:spacing w:before="0" w:after="180" w:line="264" w:lineRule="auto"/>
        <w:ind w:firstLine="340"/>
        <w:jc w:val="both"/>
      </w:pPr>
      <w:r>
        <w:rPr>
          <w:rFonts w:ascii="Cambria" w:hAnsi="Cambria"/>
          <w:b w:val="0"/>
          <w:i w:val="0"/>
          <w:color w:val="141A21"/>
          <w:sz w:val="22"/>
        </w:rPr>
        <w:t>Chaque associé va détenir une partie du capital, soit parce qu’il apporte de l’argent (apport en numéraire), soit parce qu’il transmet un savoir-faire (apport en industrie) ou du matériel (apport en nature).</w:t>
      </w:r>
    </w:p>
    <w:p>
      <w:pPr>
        <w:spacing w:before="0" w:after="180" w:line="264" w:lineRule="auto"/>
        <w:ind w:firstLine="340"/>
        <w:jc w:val="both"/>
      </w:pPr>
      <w:r>
        <w:rPr>
          <w:rFonts w:ascii="Cambria" w:hAnsi="Cambria"/>
          <w:b w:val="0"/>
          <w:i w:val="0"/>
          <w:color w:val="141A21"/>
          <w:sz w:val="22"/>
        </w:rPr>
        <w:t>Pour chaque associé, le montant de son apport va être évaluer en pourcentage par rapport à l’ensemble des apports pour déterminer sa quote-part de détention (de pouvoir) dans la société.</w:t>
      </w:r>
    </w:p>
    <w:p>
      <w:pPr>
        <w:spacing w:before="0" w:after="180" w:line="264" w:lineRule="auto"/>
        <w:ind w:firstLine="340"/>
        <w:jc w:val="both"/>
      </w:pPr>
      <w:r>
        <w:rPr>
          <w:rFonts w:ascii="Cambria" w:hAnsi="Cambria"/>
          <w:b w:val="0"/>
          <w:i w:val="0"/>
          <w:color w:val="141A21"/>
          <w:sz w:val="22"/>
        </w:rPr>
        <w:t>Pour rendre cela plus compréhensible prenons un exemple :</w:t>
      </w:r>
    </w:p>
    <w:p>
      <w:pPr>
        <w:spacing w:before="0" w:after="180" w:line="264" w:lineRule="auto"/>
        <w:ind w:firstLine="340"/>
        <w:jc w:val="both"/>
      </w:pPr>
      <w:r>
        <w:rPr>
          <w:rFonts w:ascii="Cambria" w:hAnsi="Cambria"/>
          <w:b w:val="0"/>
          <w:i w:val="0"/>
          <w:color w:val="141A21"/>
          <w:sz w:val="22"/>
        </w:rPr>
        <w:t>Prenons come hypothèse que 3 copains décident de fonder une société de maintenance informatique.</w:t>
      </w:r>
    </w:p>
    <w:p>
      <w:pPr>
        <w:spacing w:before="0" w:after="180" w:line="264" w:lineRule="auto"/>
        <w:ind w:firstLine="340"/>
        <w:jc w:val="both"/>
      </w:pPr>
      <w:r>
        <w:rPr>
          <w:rFonts w:ascii="Cambria" w:hAnsi="Cambria"/>
          <w:b w:val="0"/>
          <w:i w:val="0"/>
          <w:color w:val="141A21"/>
          <w:sz w:val="22"/>
        </w:rPr>
        <w:t>Philipe, apporte 1.000 €,</w:t>
      </w:r>
    </w:p>
    <w:p>
      <w:pPr>
        <w:spacing w:before="0" w:after="180" w:line="264" w:lineRule="auto"/>
        <w:ind w:firstLine="340"/>
        <w:jc w:val="both"/>
      </w:pPr>
      <w:r>
        <w:rPr>
          <w:rFonts w:ascii="Cambria" w:hAnsi="Cambria"/>
          <w:b w:val="0"/>
          <w:i w:val="0"/>
          <w:color w:val="141A21"/>
          <w:sz w:val="22"/>
        </w:rPr>
        <w:t>Laurent apporte un véhicule évalué 1.000 €,</w:t>
      </w:r>
    </w:p>
    <w:p>
      <w:pPr>
        <w:spacing w:before="0" w:after="180" w:line="264" w:lineRule="auto"/>
        <w:ind w:firstLine="340"/>
        <w:jc w:val="both"/>
      </w:pPr>
      <w:r>
        <w:rPr>
          <w:rFonts w:ascii="Cambria" w:hAnsi="Cambria"/>
          <w:b w:val="0"/>
          <w:i w:val="0"/>
          <w:color w:val="141A21"/>
          <w:sz w:val="22"/>
        </w:rPr>
        <w:t>Julien apporte son savoir faire dans l’utilisation d’un logiciel indispensable à l’activité évalué 1.000€.</w:t>
      </w:r>
    </w:p>
    <w:p>
      <w:pPr>
        <w:spacing w:before="0" w:after="180" w:line="264" w:lineRule="auto"/>
        <w:ind w:firstLine="340"/>
        <w:jc w:val="both"/>
      </w:pPr>
      <w:r>
        <w:rPr>
          <w:rFonts w:ascii="Cambria" w:hAnsi="Cambria"/>
          <w:b w:val="0"/>
          <w:i w:val="0"/>
          <w:color w:val="141A21"/>
          <w:sz w:val="22"/>
        </w:rPr>
        <w:t>le capital de la société est de combien ?</w:t>
      </w:r>
    </w:p>
    <w:p>
      <w:pPr>
        <w:spacing w:before="0" w:after="180" w:line="264" w:lineRule="auto"/>
        <w:ind w:firstLine="340"/>
        <w:jc w:val="both"/>
      </w:pPr>
      <w:r>
        <w:rPr>
          <w:rFonts w:ascii="Cambria" w:hAnsi="Cambria"/>
          <w:b w:val="0"/>
          <w:i w:val="0"/>
          <w:color w:val="141A21"/>
          <w:sz w:val="22"/>
        </w:rPr>
        <w:t>cela me rappelle ma prof de CM2 ! mais bon</w:t>
      </w:r>
    </w:p>
    <w:p>
      <w:pPr>
        <w:spacing w:before="0" w:after="180" w:line="264" w:lineRule="auto"/>
        <w:ind w:firstLine="340"/>
        <w:jc w:val="both"/>
      </w:pPr>
      <w:r>
        <w:rPr>
          <w:rFonts w:ascii="Cambria" w:hAnsi="Cambria"/>
          <w:b w:val="0"/>
          <w:i w:val="0"/>
          <w:color w:val="141A21"/>
          <w:sz w:val="22"/>
        </w:rPr>
        <w:t>pour la plupart d’entre vous, il serait de 3.000€</w:t>
      </w:r>
    </w:p>
    <w:p>
      <w:pPr>
        <w:spacing w:before="0" w:after="180" w:line="264" w:lineRule="auto"/>
        <w:ind w:firstLine="340"/>
        <w:jc w:val="both"/>
      </w:pPr>
      <w:r>
        <w:rPr>
          <w:rFonts w:ascii="Cambria" w:hAnsi="Cambria"/>
          <w:b w:val="0"/>
          <w:i w:val="0"/>
          <w:color w:val="141A21"/>
          <w:sz w:val="22"/>
        </w:rPr>
        <w:t>en fait NON, le capital social sera de 2.000€, car les apports en industrie ne sont pas pris en compte dans le capital social ; mais ils ont évidemment une valeur mais sur la répartition des pouvoirs des associés. En fait la participation de julien sera prise en compte lors des assemblées générales et surtout dans la répartition du bénéfice.</w:t>
      </w:r>
    </w:p>
    <w:p>
      <w:pPr>
        <w:spacing w:before="0" w:after="180" w:line="264" w:lineRule="auto"/>
        <w:ind w:firstLine="340"/>
        <w:jc w:val="both"/>
      </w:pPr>
      <w:r>
        <w:rPr>
          <w:rFonts w:ascii="Cambria" w:hAnsi="Cambria"/>
          <w:b w:val="0"/>
          <w:i w:val="0"/>
          <w:color w:val="141A21"/>
          <w:sz w:val="22"/>
        </w:rPr>
        <w:t>Dans notre exemple, si la société des « 3 frères » génère 3.000€ de résultat net, et que les associés décident de distribuer l’intégralité de ce résultat, la répartition sera :</w:t>
      </w:r>
    </w:p>
    <w:p>
      <w:pPr>
        <w:spacing w:before="0" w:after="180" w:line="264" w:lineRule="auto"/>
        <w:ind w:firstLine="340"/>
        <w:jc w:val="both"/>
      </w:pPr>
      <w:r>
        <w:rPr>
          <w:rFonts w:ascii="Cambria" w:hAnsi="Cambria"/>
          <w:b w:val="0"/>
          <w:i w:val="0"/>
          <w:color w:val="141A21"/>
          <w:sz w:val="22"/>
        </w:rPr>
        <w:t>Philippe : 1.000€</w:t>
      </w:r>
    </w:p>
    <w:p>
      <w:pPr>
        <w:spacing w:before="0" w:after="180" w:line="264" w:lineRule="auto"/>
        <w:ind w:firstLine="340"/>
        <w:jc w:val="both"/>
      </w:pPr>
      <w:r>
        <w:rPr>
          <w:rFonts w:ascii="Cambria" w:hAnsi="Cambria"/>
          <w:b w:val="0"/>
          <w:i w:val="0"/>
          <w:color w:val="141A21"/>
          <w:sz w:val="22"/>
        </w:rPr>
        <w:t>Laurent : 1.000€</w:t>
      </w:r>
    </w:p>
    <w:p>
      <w:pPr>
        <w:spacing w:before="0" w:after="180" w:line="264" w:lineRule="auto"/>
        <w:ind w:firstLine="340"/>
        <w:jc w:val="both"/>
      </w:pPr>
      <w:r>
        <w:rPr>
          <w:rFonts w:ascii="Cambria" w:hAnsi="Cambria"/>
          <w:b w:val="0"/>
          <w:i w:val="0"/>
          <w:color w:val="141A21"/>
          <w:sz w:val="22"/>
        </w:rPr>
        <w:t>Julien : 1.000€</w:t>
      </w:r>
    </w:p>
    <w:p>
      <w:pPr>
        <w:spacing w:before="0" w:after="180" w:line="264" w:lineRule="auto"/>
        <w:ind w:firstLine="340"/>
        <w:jc w:val="both"/>
      </w:pPr>
      <w:r>
        <w:rPr>
          <w:rFonts w:ascii="Cambria" w:hAnsi="Cambria"/>
          <w:b w:val="0"/>
          <w:i w:val="0"/>
          <w:color w:val="141A21"/>
          <w:sz w:val="22"/>
        </w:rPr>
        <w:t>Mais dans le cas ou la société des « 3 bandidos » se développe tellement bien qu’elle est repérée par un investisseur, dans ce cas d’une cession à un prix de 30.000€, la répartition serait de ????</w:t>
      </w:r>
    </w:p>
    <w:p>
      <w:pPr>
        <w:spacing w:before="0" w:after="180" w:line="264" w:lineRule="auto"/>
        <w:ind w:firstLine="340"/>
        <w:jc w:val="both"/>
      </w:pPr>
      <w:r>
        <w:rPr>
          <w:rFonts w:ascii="Cambria" w:hAnsi="Cambria"/>
          <w:b w:val="0"/>
          <w:i w:val="0"/>
          <w:color w:val="141A21"/>
          <w:sz w:val="22"/>
        </w:rPr>
        <w:t>Philippe : 15.000€</w:t>
      </w:r>
    </w:p>
    <w:p>
      <w:pPr>
        <w:spacing w:before="0" w:after="180" w:line="264" w:lineRule="auto"/>
        <w:ind w:firstLine="340"/>
        <w:jc w:val="both"/>
      </w:pPr>
      <w:r>
        <w:rPr>
          <w:rFonts w:ascii="Cambria" w:hAnsi="Cambria"/>
          <w:b w:val="0"/>
          <w:i w:val="0"/>
          <w:color w:val="141A21"/>
          <w:sz w:val="22"/>
        </w:rPr>
        <w:t>Laurent : 15.000€</w:t>
      </w:r>
    </w:p>
    <w:p>
      <w:pPr>
        <w:spacing w:before="0" w:after="180" w:line="264" w:lineRule="auto"/>
        <w:ind w:firstLine="340"/>
        <w:jc w:val="both"/>
      </w:pPr>
      <w:r>
        <w:rPr>
          <w:rFonts w:ascii="Cambria" w:hAnsi="Cambria"/>
          <w:b w:val="0"/>
          <w:i w:val="0"/>
          <w:color w:val="141A21"/>
          <w:sz w:val="22"/>
        </w:rPr>
        <w:t>Julien : pauvre de lui</w:t>
      </w:r>
    </w:p>
    <w:p>
      <w:pPr>
        <w:pStyle w:val="Heading3"/>
        <w:spacing w:before="400" w:after="100" w:line="276" w:lineRule="auto"/>
      </w:pPr>
      <w:r>
        <w:rPr>
          <w:rFonts w:ascii="Calibri" w:hAnsi="Calibri"/>
          <w:b/>
          <w:i w:val="0"/>
          <w:color w:val="141A21"/>
          <w:sz w:val="27"/>
        </w:rPr>
        <w:t>L'évaluation des apports</w:t>
      </w:r>
    </w:p>
    <w:p>
      <w:pPr>
        <w:spacing w:before="0" w:after="180" w:line="264" w:lineRule="auto"/>
        <w:jc w:val="both"/>
      </w:pPr>
      <w:r>
        <w:rPr>
          <w:rFonts w:ascii="Cambria" w:hAnsi="Cambria"/>
          <w:b w:val="0"/>
          <w:i w:val="0"/>
          <w:color w:val="141A21"/>
          <w:sz w:val="22"/>
        </w:rPr>
        <w:t>Pour tous les apports autres que numéraires, il faut faire évaluer l’apport.</w:t>
      </w:r>
    </w:p>
    <w:p>
      <w:pPr>
        <w:spacing w:before="0" w:after="180" w:line="264" w:lineRule="auto"/>
        <w:ind w:firstLine="340"/>
        <w:jc w:val="both"/>
      </w:pPr>
      <w:r>
        <w:rPr>
          <w:rFonts w:ascii="Cambria" w:hAnsi="Cambria"/>
          <w:b w:val="0"/>
          <w:i w:val="0"/>
          <w:color w:val="141A21"/>
          <w:sz w:val="22"/>
        </w:rPr>
        <w:t>Le code du commerce de part son article L.223-9 dispose que :</w:t>
      </w:r>
    </w:p>
    <w:p>
      <w:pPr>
        <w:spacing w:before="200" w:after="240" w:line="288" w:lineRule="auto"/>
        <w:ind w:left="397"/>
        <w:jc w:val="both"/>
        <w:pBdr>
          <w:left w:val="single" w:sz="18" w:space="10" w:color="b08d3e"/>
        </w:pBdr>
      </w:pPr>
      <w:r>
        <w:rPr>
          <w:rFonts w:ascii="Cambria" w:hAnsi="Cambria"/>
          <w:b w:val="0"/>
          <w:i/>
          <w:color w:val="3C3A34"/>
          <w:sz w:val="21"/>
        </w:rPr>
        <w:t>« Les statuts doivent contenir l’évaluation de chaque apport en nature. Il y est procédé au vu d’un rapport annexé aux statuts et établi sous sa responsabilité par un commissaire aux apports désigné à l’unanimité des futurs associés ou à défaut par une décision de justice à la demande du futur associé le plus diligent. Toutefois, les futurs associés peuvent décider à l’unanimité que le recours à un commissaire aux apports ne sera pas obligatoire, lorsque la valeur d’aucun apport en nature n’excède un montant fixé par décret et si la valeur totale de l’ensemble des apports en nature non soumis à l’évaluation d’un commissaire aux apports n’excède pas la moitié du capital. Lorsque la société est constituée par une seule personne, le commissaire aux apports est désigné par l’associé unique. Toutefois le recours à un commissaire aux apports n’est pas obligatoire si les conditions prévues à l’alinéa précédent sont réunies. Lorsqu’il n’y a pas eu de commissaire aux apports ou lorsque la valeur retenue est différente de celle proposée par le commissaires aux apports, les associés sont solidairement responsables pendant cinq ans, à l’égard des tiers, de la valeur attribuée aux apports en nature lors de la constitution de la société ». Je sollicite mes clients dans le cas d’apport de véhicules, de demander à un professionnel type garagiste de faire une évaluation du véhicule pour ne pas avoir de doute sur cette valeur entre les associés. Dans certains cas je demande même deux estimations. De plus cette évaluation une fois acceptée par les associés va devoir dans le cas ou cet apport dépasse 3.000€ et 50% du capital total de la société, être validée par un commissaire aux apports. Ce dernier est mandaté par l’assemblée générale des associés pour « valider » le montant de l’apport. Le commissaire aux apports étudie l’évaluation et donne son avis. Dans le cas ou il estime que le prix est correct, il stipule dans un rapport qu’il dépose auprès du greffe du tribunal de commerce, qu’il est en accord avec l’évaluation du prix, ce qui permet au tribunal de commerce de valider « le montage juridique » et d’éditer l’extrait Kbis. En cas de désaccord sur l’évaluation 2 cas sont possibles : Si le prix retenu par les associés est inférieurs au prix évalué par le CAC, ce dernier peut le stipuler dans son rapport mais cela n’aura aucune incidence sur la répartition du capital initiale et le tribunal enregistrera la société, Si le prix est supérieur, le CAC informera dans son rapport qu’il constate cette anomalie et justifiera sa position. Les associés auront la possibilité de modifier la répartition du capital d’après les préconisations du CAC et de réintroduire les nouveaux statuts dans le process d’enregistrement. Dans le cas ou les associés refusent ce montant, ils peuvent néanmoins maintenir la répartition initialement prévue mais ils prennent le risque en cas de poursuite judicaire d’être appelé en responsabilité personnelle au-delà des sanctions prévue dans le code du commerce. Le rapport validant les apports du commissaire est annexé à l’ensemble des documents juridiques nécessaires à la création de la société et déposé auprès du greffe du tribunal de commerce de la juridiction de votre siège social</w:t>
      </w:r>
    </w:p>
    <w:p>
      <w:pPr>
        <w:pStyle w:val="Heading3"/>
        <w:spacing w:before="400" w:after="100" w:line="276" w:lineRule="auto"/>
      </w:pPr>
      <w:r>
        <w:rPr>
          <w:rFonts w:ascii="Calibri" w:hAnsi="Calibri"/>
          <w:b/>
          <w:i w:val="0"/>
          <w:color w:val="141A21"/>
          <w:sz w:val="27"/>
        </w:rPr>
        <w:t>La responsabilité des associés</w:t>
      </w:r>
    </w:p>
    <w:p>
      <w:pPr>
        <w:spacing w:before="0" w:after="180" w:line="264" w:lineRule="auto"/>
        <w:jc w:val="both"/>
      </w:pPr>
      <w:r>
        <w:rPr>
          <w:rFonts w:ascii="Cambria" w:hAnsi="Cambria"/>
          <w:b w:val="0"/>
          <w:i w:val="0"/>
          <w:color w:val="141A21"/>
          <w:sz w:val="22"/>
        </w:rPr>
        <w:t>Il faut bien retenir que dans son article 1844-1 le code de civil définie la responsabilité des associés fasse aux pertes ; cette dernière étant liée au montant de la partition de chaque associé dans le capital social pour les sociétés commerciales :</w:t>
      </w:r>
    </w:p>
    <w:p>
      <w:pPr>
        <w:spacing w:before="200" w:after="240" w:line="288" w:lineRule="auto"/>
        <w:ind w:left="397"/>
        <w:jc w:val="both"/>
        <w:pBdr>
          <w:left w:val="single" w:sz="18" w:space="10" w:color="b08d3e"/>
        </w:pBdr>
      </w:pPr>
      <w:r>
        <w:rPr>
          <w:rFonts w:ascii="Cambria" w:hAnsi="Cambria"/>
          <w:b w:val="0"/>
          <w:i/>
          <w:color w:val="3C3A34"/>
          <w:sz w:val="21"/>
        </w:rPr>
        <w:t>« La part de chaque associé dans les bénéfices et sa contribution aux pertes se déterminent à proportion de sa part dans le capital social et la part de l’associé qui n’a apporté que son industrie est égale à celle de l’associé qui a le moins apporté, le tout sans clause contraire. Toutefois, la stipulation attribuant à un associé la totalité du profit procuré par la société ou l’exonérant de la totalité des pertes, celles excluant un associé totalement du profit ou mettant à sa charge la totalité des pertes sont réputées non écrites ». C’est à ce moment qu’il faut aussi faire un focus entre les sociétés civiles et commerciales, car même si chaque associé est responsable des pertes proportionnellement a sa participation au capital de la société, les conséquences sont différentes : Dans les sociétés civiles, chaque associé est responsable des pertes proportionnellement au pourcentage du capital qu’il détient, mais il peut être néanmoins appelé solidairement par le créancier sur la quote-part des autres qui seraient insolvable a lui ensuite de faire une action en justice pour récupérer ses sous. Dans les sociétés commerciales, la responsabilité est aussi proportionnelle au pourcentage de détention mais limité au montant du capital social investi. Dans l’exemple des 3 copains et si nous retenons que la société est en faillite avec un passif de 30.000€ : Si la société est sous forme civile, Philipe et Laurent seront appelé chacun pour 15.000€ Si elle est commerciale, Philipe et Laurent auront perdu leur investissement soit 1.000€ chacun. Cet élément est primordial ; en effet le choix juridique de votre société est important. Je le constate souvent lorsque mes clients veulent constituer une société qui va gérer des biens immobiliers, que j’appellerai dans notre exemple foncière, car ce choix aura un impact sur votre banquier a qui vous allez solliciter un emprunt pour financer l’acquisition immobilière. Prenons un exemple simple mais dont les chiffres sont farfelus juste pour vous faire comprendre la notion ci-dessus exposée : Vous décidez d’acquérir un appartement au dernier étage d’un immeuble. Ce bien est situé dans une ville bénéficiant de 300 jours de soleil par an. Le bien fait 100 m² et dispose d’un balcon super de 50m². De l’autre coté de la rue il y a un parc municipal et de ce fait quand vous êtes sur le balcon vous bénéficiez d’une superbe vue. Ce bien est proposé à 100.000€. Vous faites un emprunt avec un remboursement mensuel de 650€. Vous constatez qu’un appartement de ce type pour 100m² se loue mensuellement 500€. De ce fait vous le mettez à la location au prix de 700€ en justifiant l’apport du balcon. Tout va bien, vous dégagez du cash flow. Deux ans plus tard, la municipalité décide de construire sur l’emplacement du parc municipal une usine d’incinération de déchets. La fumée grise qui ressort de la cheminée n’est pas toxique mais elle est très présente et empêche de ce fait l’utilisation du balcon. Vos locataires ne pouvant plus utiliser cet espace vous demande de ramener le loyer au prix de 500€. Cette situation engendre un déficit de trésorerie que vous n’arrivez pas a pallier par vos autres revenus. Au bout de quelques temps, la banque vous réclame des sous et effectue la saisie du bien pour une vente aux enchères publiques afin de récupérer le solde restant du que nous évaluerons à 70.000€. Votre bien est adjugé au prix de 50.000€, il reste donc à rembourser auprès de la banque une somme de 20.000€. Pour l’instant l’histoire reste commune mais les conséquences sont différentes. Vous avez acquis votre bien en nom propres : Le créancier va vous réclamer le solde et vous devez le lui régler sur votre patrimoine actuel ou futur (un avis à tiers détendeur sera émis par la banque sur vos salaires à venir) mais dans tous les cas (sauf en cas de décès ou la procédure est différente ou si vous êtes déclarés en faillite personnelle) le banquier récupérera ses 20.000€. Vous avez acquis votre bien en ayant constituée une SCI (société civile immobilière) à 50% avec votre copain d’enfance : Le créancier va informer chaque associé de sa dette évaluée à 10.000€ et va demander le paiement dans le même processus qu’en nom propre. Néanmoins si votre copain n’a pas un ronds, le créancier peut demander à un autre associé de régler la quote-part de l’associé insolvable et à vous ensuite d’attaquer votre ami en justice pour vous faire rembourser. Vous avez créé une société commerciale (SARL, SAS ou SA) qui est devenu propriétaire du bien : Lors de la constatation de votre impossibilité de régler l’emprunt vous avez été sur les conseils de votre excellent expert-comptable, déposé auprès du tribunal de commerce une déclaration de cessation de paiement. De ce fait, mais je raccourci beaucoup le processus, le banquier sera inscrit dans les créanciers et lorsque le tribunal prononcera la liquidation judicaire, l’affaire sera terminée mais surtout la banque ne viendra pas vous rechercher. Je vais faire un aparté, c’est pour cela que lorsque vous souhaitez organiser votre patrimoine immobilier dans une société commerciale, que votre banquier vous le déconseille car en fait il prend plus de risque de récupérer son prêt en cas de défaillance de votre part. En priorité il vous conseillera un investissement en nom propres et une utilisation fiscale de l’avantage du loueur en meublé (professionnel ou pas), a la rigueur de vous financer quand même si vous constitué une SCI mais il est tares retissant et vous comprenez maintenant pourquoi, de vous financer sous forme de SAS ou SARL (sachant que la SA est pratiquement jamais utilisée dans ce genre de montage). Pour terminer avec cet élément que vous avez compris très important, il faut également parler du montant du capital. La plupart des sociétés commerciales peuvent avoir un capital social d’un euro. « C’est pas cher !!! »</w:t>
      </w:r>
    </w:p>
    <w:p>
      <w:pPr>
        <w:spacing w:before="0" w:after="180" w:line="264" w:lineRule="auto"/>
        <w:ind w:firstLine="340"/>
        <w:jc w:val="both"/>
      </w:pPr>
      <w:r>
        <w:rPr>
          <w:rFonts w:ascii="Cambria" w:hAnsi="Cambria"/>
          <w:b w:val="0"/>
          <w:i w:val="0"/>
          <w:color w:val="141A21"/>
          <w:sz w:val="22"/>
        </w:rPr>
        <w:t>La valeur du capital est important car comme nous venons de le voir, cela correspond pour les tiers au montant que les associés sont prêt à perdre en cas de faillite.</w:t>
      </w:r>
    </w:p>
    <w:p>
      <w:pPr>
        <w:spacing w:before="0" w:after="180" w:line="264" w:lineRule="auto"/>
        <w:ind w:firstLine="340"/>
        <w:jc w:val="both"/>
      </w:pPr>
      <w:r>
        <w:rPr>
          <w:rFonts w:ascii="Cambria" w:hAnsi="Cambria"/>
          <w:b w:val="0"/>
          <w:i w:val="0"/>
          <w:color w:val="141A21"/>
          <w:sz w:val="22"/>
        </w:rPr>
        <w:t>Si le capital est trop faible, cela ne donne pas envi aux créanciers de vous prêté de l’argent, si par contre il est trop important par rapport au projet, vous bloquez de la trésorerie inutilement. Il faut bien le calculé, je fais souvent plusieurs simulations avec me clients lors de la constitution des statuts sur ce point.</w:t>
      </w:r>
    </w:p>
    <w:p>
      <w:pPr>
        <w:pStyle w:val="Heading3"/>
        <w:spacing w:before="400" w:after="100" w:line="276" w:lineRule="auto"/>
      </w:pPr>
      <w:r>
        <w:rPr>
          <w:rFonts w:ascii="Calibri" w:hAnsi="Calibri"/>
          <w:b/>
          <w:i w:val="0"/>
          <w:color w:val="141A21"/>
          <w:sz w:val="27"/>
        </w:rPr>
        <w:t>La dénomination sociale et le nom commercial</w:t>
      </w:r>
    </w:p>
    <w:p>
      <w:pPr>
        <w:spacing w:before="0" w:after="180" w:line="264" w:lineRule="auto"/>
        <w:jc w:val="both"/>
      </w:pPr>
      <w:r>
        <w:rPr>
          <w:rFonts w:ascii="Cambria" w:hAnsi="Cambria"/>
          <w:b w:val="0"/>
          <w:i w:val="0"/>
          <w:color w:val="141A21"/>
          <w:sz w:val="22"/>
        </w:rPr>
        <w:t>C’est le nom juridique juridique de votre société ; c’est le nom qui apparait sur la carte d’identité de votre société, le Kbis, et c’est par ce nom que les administrations vont appellerons.</w:t>
      </w:r>
    </w:p>
    <w:p>
      <w:pPr>
        <w:spacing w:before="0" w:after="180" w:line="264" w:lineRule="auto"/>
        <w:ind w:firstLine="340"/>
        <w:jc w:val="both"/>
      </w:pPr>
      <w:r>
        <w:rPr>
          <w:rFonts w:ascii="Cambria" w:hAnsi="Cambria"/>
          <w:b w:val="0"/>
          <w:i w:val="0"/>
          <w:color w:val="141A21"/>
          <w:sz w:val="22"/>
        </w:rPr>
        <w:t>Comme le nom d’une personne physique ce choix est important. Néanmoins en cas d’erreur de casting sachez que nous pouvons le modifier la plupart du temps en convoquant une assemblée extraordinaire et en effectuant les formalités nécessaires.</w:t>
      </w:r>
    </w:p>
    <w:p>
      <w:pPr>
        <w:spacing w:before="0" w:after="180" w:line="264" w:lineRule="auto"/>
        <w:ind w:firstLine="340"/>
        <w:jc w:val="both"/>
      </w:pPr>
      <w:r>
        <w:rPr>
          <w:rFonts w:ascii="Cambria" w:hAnsi="Cambria"/>
          <w:b w:val="0"/>
          <w:i w:val="0"/>
          <w:color w:val="141A21"/>
          <w:sz w:val="22"/>
        </w:rPr>
        <w:t>Dans les éléments à éviter en France car cela est très fréquent dans les sociétés anglo-saxonne et par expérience, ne mentionné pas votre patronyme dans cette dénomination car cela complique la lisibilité juridique si vous etes plusieurs associés et en plus il faudra modifier cet élément sur le Kbis a chaque rentré d’un nouvel associé sauf si votre nom est votre marque et que l’ensemble de votre communication est liée à votre personne.</w:t>
      </w:r>
    </w:p>
    <w:p>
      <w:pPr>
        <w:spacing w:before="0" w:after="180" w:line="264" w:lineRule="auto"/>
        <w:ind w:firstLine="340"/>
        <w:jc w:val="both"/>
      </w:pPr>
      <w:r>
        <w:rPr>
          <w:rFonts w:ascii="Cambria" w:hAnsi="Cambria"/>
          <w:b w:val="0"/>
          <w:i w:val="0"/>
          <w:color w:val="141A21"/>
          <w:sz w:val="22"/>
        </w:rPr>
        <w:t>Le nom commercial :</w:t>
      </w:r>
    </w:p>
    <w:p>
      <w:pPr>
        <w:spacing w:before="0" w:after="180" w:line="264" w:lineRule="auto"/>
        <w:ind w:firstLine="340"/>
        <w:jc w:val="both"/>
      </w:pPr>
      <w:r>
        <w:rPr>
          <w:rFonts w:ascii="Cambria" w:hAnsi="Cambria"/>
          <w:b w:val="0"/>
          <w:i w:val="0"/>
          <w:color w:val="141A21"/>
          <w:sz w:val="22"/>
        </w:rPr>
        <w:t>Celui la aussi est important ; c’est le nom éventuellement de votre marque et pour le coup n’utiliser pas votre nom, l’exemple d’Ignès de la fressange est parlant. Cette personnalité avait crée sa société en reprenant son patronyme. Lors de la cession de sa boite et son « éjection brutale » de la direction, elle a due ferrailler sec devant la justice pour pouvoir réutiliser son propre nom dans le domaine des affaires, car les acheteurs de sa société revendiquait avoir acquis la société certes mais aussi la marque et donc son nom patronymique.</w:t>
      </w:r>
    </w:p>
    <w:p>
      <w:pPr>
        <w:pStyle w:val="Heading3"/>
        <w:spacing w:before="400" w:after="100" w:line="276" w:lineRule="auto"/>
      </w:pPr>
      <w:r>
        <w:rPr>
          <w:rFonts w:ascii="Calibri" w:hAnsi="Calibri"/>
          <w:b/>
          <w:i w:val="0"/>
          <w:color w:val="141A21"/>
          <w:sz w:val="27"/>
        </w:rPr>
        <w:t>Le siège social</w:t>
      </w:r>
    </w:p>
    <w:p>
      <w:pPr>
        <w:spacing w:before="0" w:after="180" w:line="264" w:lineRule="auto"/>
        <w:jc w:val="both"/>
      </w:pPr>
      <w:r>
        <w:rPr>
          <w:rFonts w:ascii="Cambria" w:hAnsi="Cambria"/>
          <w:b w:val="0"/>
          <w:i w:val="0"/>
          <w:color w:val="141A21"/>
          <w:sz w:val="22"/>
        </w:rPr>
        <w:t>On rappel que le siège social est déterminé dans les statuts comme stipulé dans l’article 210-2 du code de commerce que nous avons étudié plus haut.</w:t>
      </w:r>
    </w:p>
    <w:p>
      <w:pPr>
        <w:spacing w:before="0" w:after="180" w:line="264" w:lineRule="auto"/>
        <w:ind w:firstLine="340"/>
        <w:jc w:val="both"/>
      </w:pPr>
      <w:r>
        <w:rPr>
          <w:rFonts w:ascii="Cambria" w:hAnsi="Cambria"/>
          <w:b w:val="0"/>
          <w:i w:val="0"/>
          <w:color w:val="141A21"/>
          <w:sz w:val="22"/>
        </w:rPr>
        <w:t>Pour les sociétés anonymes, l’article 225-36 du code de commerce dispose :</w:t>
      </w:r>
    </w:p>
    <w:p>
      <w:pPr>
        <w:spacing w:before="200" w:after="240" w:line="288" w:lineRule="auto"/>
        <w:ind w:left="397"/>
        <w:jc w:val="both"/>
        <w:pBdr>
          <w:left w:val="single" w:sz="18" w:space="10" w:color="b08d3e"/>
        </w:pBdr>
      </w:pPr>
      <w:r>
        <w:rPr>
          <w:rFonts w:ascii="Cambria" w:hAnsi="Cambria"/>
          <w:b w:val="0"/>
          <w:i/>
          <w:color w:val="3C3A34"/>
          <w:sz w:val="21"/>
        </w:rPr>
        <w:t>« Le déplacement du siège social dans le même département ou dans un département limitrophe peut être décidé par le conseil d’administration, sous réserve de ratification de cette décision par la prochaine assemblée générale ordinaire ». La décision est identique dans les sociétés anonymes sous forme de conseil de surveillance et en application de l’article 225-65 du code de commerce. Surtout le plus important est l’article R. 210-12 du code de commerce qui dispose que « le tribunal territorialement compétent est celui dans le ressort duquel est situé le siège social de la société ». Le plus souvent, le domicile du gérant semble être le lieu le plus approprie et le plus efficace pour établir le siège social aux yeux de la majorité des créateurs d’après les analyses des créations d’entreprises auprès des greffes des tribunaux de commerce. Pour ma part je déconseille régulièrement cette option à mes clients. En effet comme nous l’avons vu, le siège social est l’endroit où les tiers, donc l’administration, viennent rencontrer la direction de l’entreprise. La plupart du temps on n’aime pas voir arriver l’Administration chez soi. J’illustre souvent cela avec encore une référence cinématographique, par le film « le diner de con » où Thierry LHERMITTE après avoir sans trop le vouloir demander de l’aide à Jacques VILLERET, LE CON, voit arrivé l’irrésistible « inspecteur CHEVAL » joué par Daniel PREVOST et de ce fait Thierry LHERMITTE planque ses tableaux et autres objets de valeurs dans une chambre qu’il croit non accessible à ce représentant de l’Administration fiscale. Dans un contexte moins « rigolo », le film « la verte si je ment » où un petit garçons entrouvre la porte de l’appartement familial mais néanmoins le siège de la société et voit un monsieur accompagné de policiers lui dire « huissier de justice je vous demande d’ourdir cette porte » et le petit garçon répondant « mes parents sont absents et je n’ouvre pas aux inconnus » et évidemment clichés oblige (désolé mes copains huissiers Eric et Philippe) l’huissier se fâche et indique qu’il va faire forcer l’ouverture de cette porte en montant sa carte professionnelle. Bien sur c’est du cinéma mais la réalité peut rattraper la fiction. Pour ces raisons je préfère la domiciliation dans un centre d’affaires, si l’entreprise n’a pas de locaux propres à son installation, pour éviter cette visite à l’habitation principale. C’est pour cetet raisons que j’ai crée il ya plusieurs années des centres d’affaires pour y poser la domiciliation des entreprises de mes clients. Je ne peux que vous conseillez de vous faire assister par un professionnel du chiffre ou du droit (avocat, notaire ou expert-comptable) pour la rédaction de vos statuts, c’est la colonne vertébrale de votre société et parfois de votre groupe de sociétés et pour de nombreuses années donc de lésiner pas sur ce point. Si au départ vous n’en avez pas les moyens, car oui bien sur cela coute cher de se rapprocher d’un rédacteur d’acte digne de ce nom, nous ne pouvons pas lutter contre les statuts gratuits sur internet nous ne vivons que par nos conseils et nos actes, mais vous pourrez toujours quand vous en aurez les moyens vous rapprocher d’un professionnel. Je cite souvent l’exemple d’un de mes clients devenu millionnaire en moins de 10 ans. Lorsque je l’ai rencontré la première fois il était salarié et n’avait pas beaucoup d’argent devant lui pour créer sa société qui devait développer des applications sur internet. Nous avons néanmoins trouvé une entente financière pour créer sa première entité juridique. Au fur et à mesure de son développement, il revenait me voir en me disant qu’il avait crée une nouvelle société (seul) pour développer une autre activité. Et ainsi de suite. Un jour en consultation je lui explique que toutes ses sociétés devraient entre « rattachée » ensemble pour facilité leur développement et nous avons décidé de la mise en œuvre du triangle magique. Néanmoins pour cette réalisation il y avait beaucoup d’adaptation juridique sur ses structures. Il a essayé seul de les réalisé et un jour il arrive dans mon bureau et avant mémé de démarrer la consultation, il sort son chéquier et me dit « je suis d’accord avec le montage juridique que vous avez présenté, avant je réalisait personnellement le juridique aujourd‘hui mes affaires marchent bien et elles gagnent de l’argent, donc dites moi combien ca coute et je vous fait un chèque pour réaliser l’ensemble des actes » ; cette histoire je la raconte souvent car en réfléchissant je me dis que s’il n’avait pas utilisé ses économies pour financer mes conseils et de ce fait se débrouiller pour faire les formalités d’enregistrement de statuts qu’il voit récupérer sur internet, il ne serait peut être plus vivant (professionnellement parlant) à ce jour et je n’aurai plus le plaisir de passer du temps avec lui pour réfléchir à son développement professionnel. Ceci pour dire que vous devez mobiliser votre capacité financière sur le conseil soit auprès de consultations de professionnels soit en faisant des formations ou en acquérant des ouvrages techniques mais en tout cas en apprenant comment lancer et mettre en place votre projet.</w:t>
      </w:r>
    </w:p>
    <w:p>
      <w:r>
        <w:br w:type="page"/>
      </w:r>
    </w:p>
    <w:p>
      <w:pPr>
        <w:pStyle w:val="Heading2"/>
        <w:spacing w:before="240" w:after="200" w:line="276" w:lineRule="auto"/>
      </w:pPr>
      <w:r>
        <w:rPr>
          <w:rFonts w:ascii="Calibri" w:hAnsi="Calibri"/>
          <w:b/>
          <w:i w:val="0"/>
          <w:color w:val="3A5488"/>
          <w:sz w:val="36"/>
        </w:rPr>
        <w:t>Chapitre 15 — Comment se payer quand on détient une société ?</w:t>
      </w:r>
    </w:p>
    <w:p>
      <w:pPr>
        <w:pStyle w:val="Heading3"/>
        <w:spacing w:before="400" w:after="100" w:line="276" w:lineRule="auto"/>
      </w:pPr>
      <w:r>
        <w:rPr>
          <w:rFonts w:ascii="Calibri" w:hAnsi="Calibri"/>
          <w:b/>
          <w:i w:val="0"/>
          <w:color w:val="141A21"/>
          <w:sz w:val="27"/>
        </w:rPr>
        <w:t>Le salaire</w:t>
      </w:r>
    </w:p>
    <w:p>
      <w:pPr>
        <w:spacing w:before="0" w:after="180" w:line="264" w:lineRule="auto"/>
        <w:jc w:val="both"/>
      </w:pPr>
      <w:r>
        <w:rPr>
          <w:rFonts w:ascii="Cambria" w:hAnsi="Cambria"/>
          <w:b w:val="0"/>
          <w:i w:val="0"/>
          <w:color w:val="141A21"/>
          <w:sz w:val="22"/>
        </w:rPr>
        <w:t>Cet élément est très important car il a l’avantage d’avoir une base fixe et d’être versé mensuellement, c’est plus pratique pour anticiper ses obligations financières : loyer, remboursement d’emprunt ou autre.</w:t>
      </w:r>
    </w:p>
    <w:p>
      <w:pPr>
        <w:spacing w:before="0" w:after="180" w:line="264" w:lineRule="auto"/>
        <w:ind w:firstLine="340"/>
        <w:jc w:val="both"/>
      </w:pPr>
      <w:r>
        <w:rPr>
          <w:rFonts w:ascii="Cambria" w:hAnsi="Cambria"/>
          <w:b w:val="0"/>
          <w:i w:val="0"/>
          <w:color w:val="141A21"/>
          <w:sz w:val="22"/>
        </w:rPr>
        <w:t>En plus l’ENTREPRENEUR qui se rémunère en salaire cotise aux caisses sociales. Nous savons tous que la France est généreuse avec ses concitoyens autant dans leur protection sociale que pour leur retraite. Et voila j’entends déjà certains d’entres vous, je ne suis jamais malade et je vais moi même me constituer ma retraite.</w:t>
      </w:r>
    </w:p>
    <w:p>
      <w:pPr>
        <w:spacing w:before="0" w:after="180" w:line="264" w:lineRule="auto"/>
        <w:ind w:firstLine="340"/>
        <w:jc w:val="both"/>
      </w:pPr>
      <w:r>
        <w:rPr>
          <w:rFonts w:ascii="Cambria" w:hAnsi="Cambria"/>
          <w:b w:val="0"/>
          <w:i w:val="0"/>
          <w:color w:val="141A21"/>
          <w:sz w:val="22"/>
        </w:rPr>
        <w:t>Prenons un peu de hauteur : vous vivez avec votre conjoint et ce dernier n’a pas de couverture maladie type mutuelle intéressante. Vous pouvez très bien prévoir que votre société souscrive un contrat de mutuelle « intéressant » pour garantir la protection de vous-même (qui n’êtes jamais malade) mais aussi de votre conjoint. La situation est encore plus compliquée quand vous avez des enfants qui jouent et qui comme la majorité des enfants (mais c’est vrai pas les vôtres) font des bêtises qui peuvent les emmener directement à l’hôpital ; vous serez bien content d’avoir pensé à cette protection sociale.</w:t>
      </w:r>
    </w:p>
    <w:p>
      <w:pPr>
        <w:spacing w:before="0" w:after="180" w:line="264" w:lineRule="auto"/>
        <w:ind w:firstLine="340"/>
        <w:jc w:val="both"/>
      </w:pPr>
      <w:r>
        <w:rPr>
          <w:rFonts w:ascii="Cambria" w:hAnsi="Cambria"/>
          <w:b w:val="0"/>
          <w:i w:val="0"/>
          <w:color w:val="141A21"/>
          <w:sz w:val="22"/>
        </w:rPr>
        <w:t>Bon c’est vrai j’ai moins d’argument pour la retraite ! mais un minimum de cotisation vous permettra d’avoir un minimum de reversement de retraite quand l’immobilier se sera effondrer ou que nous aurons essuyé un crash boursier ayant emporter tout votre patrimoine. Je blague, mais bon pensez en cas de décès prématuré au fait que votre conjoint pourra « toucher » un petit quelque chose tant qu’existe toujours la pension de réversion.</w:t>
      </w:r>
    </w:p>
    <w:p>
      <w:pPr>
        <w:pStyle w:val="Heading3"/>
        <w:spacing w:before="400" w:after="100" w:line="276" w:lineRule="auto"/>
      </w:pPr>
      <w:r>
        <w:rPr>
          <w:rFonts w:ascii="Calibri" w:hAnsi="Calibri"/>
          <w:b/>
          <w:i w:val="0"/>
          <w:color w:val="141A21"/>
          <w:sz w:val="27"/>
        </w:rPr>
        <w:t>Les dividendes</w:t>
      </w:r>
    </w:p>
    <w:p>
      <w:pPr>
        <w:spacing w:before="0" w:after="180" w:line="264" w:lineRule="auto"/>
        <w:jc w:val="both"/>
      </w:pPr>
      <w:r>
        <w:rPr>
          <w:rFonts w:ascii="Cambria" w:hAnsi="Cambria"/>
          <w:b w:val="0"/>
          <w:i w:val="0"/>
          <w:color w:val="141A21"/>
          <w:sz w:val="22"/>
        </w:rPr>
        <w:t>Le code civil par son article 1844-1 dispose que :</w:t>
      </w:r>
    </w:p>
    <w:p>
      <w:pPr>
        <w:spacing w:before="200" w:after="240" w:line="288" w:lineRule="auto"/>
        <w:ind w:left="397"/>
        <w:jc w:val="both"/>
        <w:pBdr>
          <w:left w:val="single" w:sz="18" w:space="10" w:color="b08d3e"/>
        </w:pBdr>
      </w:pPr>
      <w:r>
        <w:rPr>
          <w:rFonts w:ascii="Cambria" w:hAnsi="Cambria"/>
          <w:b w:val="0"/>
          <w:i/>
          <w:color w:val="3C3A34"/>
          <w:sz w:val="21"/>
        </w:rPr>
        <w:t>« La part de chaque associé dans les bénéfices et sa contribution aux pertes se déterminent à proportion de sa part dans le capital social et la part de l’associé qui n’a apporté que son industrie est égale à celle de l’associé qui a le moins apporté, le tout sauf clause contraire. Toutefois, la stipulation attribuant à un associé la totalité du profit procuré par la société ou l’exonérant de la totalité des pertes, celle excluant un associé totalement du profit ou mettant à sa charge la totalité des pertes sont réputées non écrites. »</w:t>
      </w:r>
    </w:p>
    <w:p>
      <w:r>
        <w:br w:type="page"/>
      </w:r>
    </w:p>
    <w:p>
      <w:pPr>
        <w:pStyle w:val="Heading2"/>
        <w:spacing w:before="240" w:after="200" w:line="276" w:lineRule="auto"/>
      </w:pPr>
      <w:r>
        <w:rPr>
          <w:rFonts w:ascii="Calibri" w:hAnsi="Calibri"/>
          <w:b/>
          <w:i w:val="0"/>
          <w:color w:val="3A5488"/>
          <w:sz w:val="36"/>
        </w:rPr>
        <w:t>Chapitre 16 — Cas pratique : monter sa société de A à Z</w:t>
      </w:r>
    </w:p>
    <w:p>
      <w:pPr>
        <w:spacing w:before="0" w:after="180" w:line="264" w:lineRule="auto"/>
        <w:jc w:val="both"/>
      </w:pPr>
      <w:r>
        <w:rPr>
          <w:rFonts w:ascii="Cambria" w:hAnsi="Cambria"/>
          <w:b w:val="0"/>
          <w:i w:val="0"/>
          <w:color w:val="141A21"/>
          <w:sz w:val="22"/>
        </w:rPr>
        <w:t>Faire le “pas à pas” de ce qu’un dirigeant doit faire s’il veut montrer une sociétéEtape 2 : ouvrir un compte en banqueEtape 3 : aller à la chambre de commerce, etc.</w:t>
      </w:r>
    </w:p>
    <w:p>
      <w:pPr>
        <w:spacing w:before="0" w:after="180" w:line="264" w:lineRule="auto"/>
        <w:ind w:firstLine="340"/>
        <w:jc w:val="both"/>
      </w:pPr>
      <w:r>
        <w:rPr>
          <w:rFonts w:ascii="Cambria" w:hAnsi="Cambria"/>
          <w:b w:val="0"/>
          <w:i w:val="0"/>
          <w:color w:val="141A21"/>
          <w:sz w:val="22"/>
        </w:rPr>
        <w:t>Ce pas à pas est très important. Il apportera une grosse valeur au livre.</w:t>
      </w:r>
    </w:p>
    <w:p>
      <w:pPr>
        <w:spacing w:before="0" w:after="180" w:line="264" w:lineRule="auto"/>
        <w:ind w:firstLine="340"/>
        <w:jc w:val="both"/>
      </w:pPr>
      <w:r>
        <w:rPr>
          <w:rFonts w:ascii="Cambria" w:hAnsi="Cambria"/>
          <w:b w:val="0"/>
          <w:i w:val="0"/>
          <w:color w:val="141A21"/>
          <w:sz w:val="22"/>
        </w:rPr>
        <w:t>Donc vous êtes prêt à créer votre société.</w:t>
      </w:r>
    </w:p>
    <w:p>
      <w:pPr>
        <w:spacing w:before="0" w:after="180" w:line="264" w:lineRule="auto"/>
        <w:ind w:firstLine="340"/>
        <w:jc w:val="both"/>
      </w:pPr>
      <w:r>
        <w:rPr>
          <w:rFonts w:ascii="Cambria" w:hAnsi="Cambria"/>
          <w:b w:val="0"/>
          <w:i w:val="0"/>
          <w:color w:val="141A21"/>
          <w:sz w:val="22"/>
        </w:rPr>
        <w:t>Je ne développerai plus l’intérêt de vous faire conseiller par un professionnel du chiffre ou du droit vous avez déjà bien compris.</w:t>
      </w:r>
    </w:p>
    <w:p>
      <w:pPr>
        <w:pStyle w:val="Heading3"/>
        <w:spacing w:before="400" w:after="100" w:line="276" w:lineRule="auto"/>
      </w:pPr>
      <w:r>
        <w:rPr>
          <w:rFonts w:ascii="Calibri" w:hAnsi="Calibri"/>
          <w:b/>
          <w:i w:val="0"/>
          <w:color w:val="141A21"/>
          <w:sz w:val="27"/>
        </w:rPr>
        <w:t>Étape 1 : rédiger les statuts</w:t>
      </w:r>
    </w:p>
    <w:p>
      <w:pPr>
        <w:spacing w:before="0" w:after="180" w:line="264" w:lineRule="auto"/>
        <w:jc w:val="both"/>
      </w:pPr>
      <w:r>
        <w:rPr>
          <w:rFonts w:ascii="Cambria" w:hAnsi="Cambria"/>
          <w:b w:val="0"/>
          <w:i w:val="0"/>
          <w:color w:val="141A21"/>
          <w:sz w:val="22"/>
        </w:rPr>
        <w:t>Plusieurs solutions s’ouvrent à vous pour la rédaction des statuts de votre société :</w:t>
      </w:r>
    </w:p>
    <w:p>
      <w:pPr>
        <w:spacing w:before="0" w:after="180" w:line="264" w:lineRule="auto"/>
        <w:ind w:firstLine="340"/>
        <w:jc w:val="both"/>
      </w:pPr>
      <w:r>
        <w:rPr>
          <w:rFonts w:ascii="Cambria" w:hAnsi="Cambria"/>
          <w:b w:val="0"/>
          <w:i w:val="0"/>
          <w:color w:val="141A21"/>
          <w:sz w:val="22"/>
        </w:rPr>
        <w:t>Télécharger un modèle sur internet ;</w:t>
      </w:r>
    </w:p>
    <w:p>
      <w:pPr>
        <w:spacing w:before="0" w:after="180" w:line="264" w:lineRule="auto"/>
        <w:ind w:firstLine="340"/>
        <w:jc w:val="both"/>
      </w:pPr>
      <w:r>
        <w:rPr>
          <w:rFonts w:ascii="Cambria" w:hAnsi="Cambria"/>
          <w:b w:val="0"/>
          <w:i w:val="0"/>
          <w:color w:val="141A21"/>
          <w:sz w:val="22"/>
        </w:rPr>
        <w:t>Copier ceux de la société de votre beau-frère ;</w:t>
      </w:r>
    </w:p>
    <w:p>
      <w:pPr>
        <w:spacing w:before="0" w:after="180" w:line="264" w:lineRule="auto"/>
        <w:ind w:firstLine="340"/>
        <w:jc w:val="both"/>
      </w:pPr>
      <w:r>
        <w:rPr>
          <w:rFonts w:ascii="Cambria" w:hAnsi="Cambria"/>
          <w:b w:val="0"/>
          <w:i w:val="0"/>
          <w:color w:val="141A21"/>
          <w:sz w:val="22"/>
        </w:rPr>
        <w:t>Vous faire assister par un professionnel.</w:t>
      </w:r>
    </w:p>
    <w:p>
      <w:pPr>
        <w:spacing w:before="0" w:after="180" w:line="264" w:lineRule="auto"/>
        <w:ind w:firstLine="340"/>
        <w:jc w:val="both"/>
      </w:pPr>
      <w:r>
        <w:rPr>
          <w:rFonts w:ascii="Cambria" w:hAnsi="Cambria"/>
          <w:b w:val="0"/>
          <w:i w:val="0"/>
          <w:color w:val="141A21"/>
          <w:sz w:val="22"/>
        </w:rPr>
        <w:t>Le plus important à retenir = vos statuts c’est les « dix commandements » de votre société.</w:t>
      </w:r>
    </w:p>
    <w:p>
      <w:pPr>
        <w:spacing w:before="0" w:after="180" w:line="264" w:lineRule="auto"/>
        <w:ind w:firstLine="340"/>
        <w:jc w:val="both"/>
      </w:pPr>
      <w:r>
        <w:rPr>
          <w:rFonts w:ascii="Cambria" w:hAnsi="Cambria"/>
          <w:b w:val="0"/>
          <w:i w:val="0"/>
          <w:color w:val="141A21"/>
          <w:sz w:val="22"/>
        </w:rPr>
        <w:t>C’est les règles de fonctionnement de votre société, le manuel d’utilisation on pourrait presque dire.</w:t>
      </w:r>
    </w:p>
    <w:p>
      <w:pPr>
        <w:spacing w:before="0" w:after="180" w:line="264" w:lineRule="auto"/>
        <w:ind w:firstLine="340"/>
        <w:jc w:val="both"/>
      </w:pPr>
      <w:r>
        <w:rPr>
          <w:rFonts w:ascii="Cambria" w:hAnsi="Cambria"/>
          <w:b w:val="0"/>
          <w:i w:val="0"/>
          <w:color w:val="141A21"/>
          <w:sz w:val="22"/>
        </w:rPr>
        <w:t>Vous allez énumérer dans ce document la façon dont vous souhaitez que les choses se passent quand elles arriveront.</w:t>
      </w:r>
    </w:p>
    <w:p>
      <w:pPr>
        <w:spacing w:before="0" w:after="180" w:line="264" w:lineRule="auto"/>
        <w:ind w:firstLine="340"/>
        <w:jc w:val="both"/>
      </w:pPr>
      <w:r>
        <w:rPr>
          <w:rFonts w:ascii="Cambria" w:hAnsi="Cambria"/>
          <w:b w:val="0"/>
          <w:i w:val="0"/>
          <w:color w:val="141A21"/>
          <w:sz w:val="22"/>
        </w:rPr>
        <w:t>L’intérêt de travailler avec un juriste c’est qu’il va prévoir avec vous les règles a appliquer lorsque vous rencontrer tel ou tel événement.</w:t>
      </w:r>
    </w:p>
    <w:p>
      <w:pPr>
        <w:spacing w:before="0" w:after="180" w:line="264" w:lineRule="auto"/>
        <w:ind w:firstLine="340"/>
        <w:jc w:val="both"/>
      </w:pPr>
      <w:r>
        <w:rPr>
          <w:rFonts w:ascii="Cambria" w:hAnsi="Cambria"/>
          <w:b w:val="0"/>
          <w:i w:val="0"/>
          <w:color w:val="141A21"/>
          <w:sz w:val="22"/>
        </w:rPr>
        <w:t>C’est dans les statuts que l’on prévoit les distributions de dividendes, les responsabilités et les pouvoirs des dirigeants, les actions à mener lorsque des associés veulent quitter la société, etc…</w:t>
      </w:r>
    </w:p>
    <w:p>
      <w:pPr>
        <w:spacing w:before="0" w:after="180" w:line="264" w:lineRule="auto"/>
        <w:ind w:firstLine="340"/>
        <w:jc w:val="both"/>
      </w:pPr>
      <w:r>
        <w:rPr>
          <w:rFonts w:ascii="Cambria" w:hAnsi="Cambria"/>
          <w:b w:val="0"/>
          <w:i w:val="0"/>
          <w:color w:val="141A21"/>
          <w:sz w:val="22"/>
        </w:rPr>
        <w:t>Ce que l’ENTREPRENEUR oubli parfois c’est que comme nous l’avons vu précédemment les statuts planifies les actes des associés pour beaucoup de leurs actions. Pendant mon activité extra-professionnelle au tribunal, il m’arrive d’avoir rencontré des associés qui veulent se séparer mais qui ne sont pas d’accord entre eux sur la méthodologie à appliquer. Je demande dans ce cas aux parties (aux deux protagonistes, les associés) de me fournir les statuts de leur société et la plupart du temps la méthodologie est preuve dans les statuts.</w:t>
      </w:r>
    </w:p>
    <w:p>
      <w:pPr>
        <w:spacing w:before="0" w:after="180" w:line="264" w:lineRule="auto"/>
        <w:ind w:firstLine="340"/>
        <w:jc w:val="both"/>
      </w:pPr>
      <w:r>
        <w:rPr>
          <w:rFonts w:ascii="Cambria" w:hAnsi="Cambria"/>
          <w:b w:val="0"/>
          <w:i w:val="0"/>
          <w:color w:val="141A21"/>
          <w:sz w:val="22"/>
        </w:rPr>
        <w:t>De ce fait cette opération est primordiale pour bien commencer dans notre nouveau costume de ENTREPRENEUR.</w:t>
      </w:r>
    </w:p>
    <w:p>
      <w:pPr>
        <w:spacing w:before="0" w:after="180" w:line="264" w:lineRule="auto"/>
        <w:ind w:firstLine="340"/>
        <w:jc w:val="both"/>
      </w:pPr>
      <w:r>
        <w:rPr>
          <w:rFonts w:ascii="Cambria" w:hAnsi="Cambria"/>
          <w:b w:val="0"/>
          <w:i w:val="0"/>
          <w:color w:val="141A21"/>
          <w:sz w:val="22"/>
        </w:rPr>
        <w:t>Plusieurs éléments sont importants en dehors de la dénomination sociale, le NOM que vous allez donner à votre entité juridique.</w:t>
      </w:r>
    </w:p>
    <w:p>
      <w:pPr>
        <w:spacing w:before="0" w:after="180" w:line="264" w:lineRule="auto"/>
        <w:ind w:firstLine="340"/>
        <w:jc w:val="both"/>
      </w:pPr>
      <w:r>
        <w:rPr>
          <w:rFonts w:ascii="Cambria" w:hAnsi="Cambria"/>
          <w:b w:val="0"/>
          <w:i w:val="0"/>
          <w:color w:val="141A21"/>
          <w:sz w:val="22"/>
        </w:rPr>
        <w:t>Le capital social :</w:t>
      </w:r>
    </w:p>
    <w:p>
      <w:pPr>
        <w:spacing w:before="0" w:after="180" w:line="264" w:lineRule="auto"/>
        <w:ind w:firstLine="340"/>
        <w:jc w:val="both"/>
      </w:pPr>
      <w:r>
        <w:rPr>
          <w:rFonts w:ascii="Cambria" w:hAnsi="Cambria"/>
          <w:b w:val="0"/>
          <w:i w:val="0"/>
          <w:color w:val="141A21"/>
          <w:sz w:val="22"/>
        </w:rPr>
        <w:t>Ce dernier est donc simplement le montant dont les associés sont prêts à perde pour lancer leur société et son développement. C’est principal pour des partenaires financiers. Bien sur ils regarderont aussi les résultats et la capacité à remboursera leur prêt mais c’est aussi une annonce que vous crié très fort « vous voyez je suis prêt à perdre telle somme, faites moi confiance et on en gagnera encore plus ensemble »</w:t>
      </w:r>
    </w:p>
    <w:p>
      <w:pPr>
        <w:spacing w:before="0" w:after="180" w:line="264" w:lineRule="auto"/>
        <w:ind w:firstLine="340"/>
        <w:jc w:val="both"/>
      </w:pPr>
      <w:r>
        <w:rPr>
          <w:rFonts w:ascii="Cambria" w:hAnsi="Cambria"/>
          <w:b w:val="0"/>
          <w:i w:val="0"/>
          <w:color w:val="141A21"/>
          <w:sz w:val="22"/>
        </w:rPr>
        <w:t>Nous avons déjà vu précédemment les éléments importants des statuts.</w:t>
      </w:r>
    </w:p>
    <w:p>
      <w:pPr>
        <w:pStyle w:val="Heading3"/>
        <w:spacing w:before="400" w:after="100" w:line="276" w:lineRule="auto"/>
      </w:pPr>
      <w:r>
        <w:rPr>
          <w:rFonts w:ascii="Calibri" w:hAnsi="Calibri"/>
          <w:b/>
          <w:i w:val="0"/>
          <w:color w:val="141A21"/>
          <w:sz w:val="27"/>
        </w:rPr>
        <w:t>Signer les statuts et immatriculer la société</w:t>
      </w:r>
    </w:p>
    <w:p>
      <w:pPr>
        <w:spacing w:before="0" w:after="180" w:line="264" w:lineRule="auto"/>
        <w:jc w:val="both"/>
      </w:pPr>
      <w:r>
        <w:rPr>
          <w:rFonts w:ascii="Cambria" w:hAnsi="Cambria"/>
          <w:b w:val="0"/>
          <w:i w:val="0"/>
          <w:color w:val="141A21"/>
          <w:sz w:val="22"/>
        </w:rPr>
        <w:t>Une fois que cet acte est rédigé il convient de faire une séance de signature</w:t>
      </w:r>
    </w:p>
    <w:p>
      <w:pPr>
        <w:spacing w:before="0" w:after="180" w:line="264" w:lineRule="auto"/>
        <w:ind w:firstLine="340"/>
        <w:jc w:val="both"/>
      </w:pPr>
      <w:r>
        <w:rPr>
          <w:rFonts w:ascii="Cambria" w:hAnsi="Cambria"/>
          <w:b w:val="0"/>
          <w:i w:val="0"/>
          <w:color w:val="141A21"/>
          <w:sz w:val="22"/>
        </w:rPr>
        <w:t>Pour ma part je préconise à mes clients de venir me rencontrer au bureau pour la signature des statuts. Je les relis à haute voie devant chaque associés présents et je m’assure qu’ils ont bien compris l’étendu de leur engagement et je réponds aux questions.</w:t>
      </w:r>
    </w:p>
    <w:p>
      <w:pPr>
        <w:spacing w:before="0" w:after="180" w:line="264" w:lineRule="auto"/>
        <w:ind w:firstLine="340"/>
        <w:jc w:val="both"/>
      </w:pPr>
      <w:r>
        <w:rPr>
          <w:rFonts w:ascii="Cambria" w:hAnsi="Cambria"/>
          <w:b w:val="0"/>
          <w:i w:val="0"/>
          <w:color w:val="141A21"/>
          <w:sz w:val="22"/>
        </w:rPr>
        <w:t>Une fois la lecture terminée je m’assure que chacun a bien signé le nombre de documents nécessaires aux formalités juridiques et on fini la plus part du temps en trinquant au champagne tous ensemble à la longue vie de leur société que je souhaite commune le plus longtemps possible.</w:t>
      </w:r>
    </w:p>
    <w:p>
      <w:pPr>
        <w:spacing w:before="0" w:after="180" w:line="264" w:lineRule="auto"/>
        <w:ind w:firstLine="340"/>
        <w:jc w:val="both"/>
      </w:pPr>
      <w:r>
        <w:rPr>
          <w:rFonts w:ascii="Cambria" w:hAnsi="Cambria"/>
          <w:b w:val="0"/>
          <w:i w:val="0"/>
          <w:color w:val="141A21"/>
          <w:sz w:val="22"/>
        </w:rPr>
        <w:t>L’information relative à la création de cette société est ensuite publiée dans un journal d’annonce légale pour informer les tiers de la création de cette entité juridique.</w:t>
      </w:r>
    </w:p>
    <w:p>
      <w:pPr>
        <w:spacing w:before="0" w:after="180" w:line="264" w:lineRule="auto"/>
        <w:ind w:firstLine="340"/>
        <w:jc w:val="both"/>
      </w:pPr>
      <w:r>
        <w:rPr>
          <w:rFonts w:ascii="Cambria" w:hAnsi="Cambria"/>
          <w:b w:val="0"/>
          <w:i w:val="0"/>
          <w:color w:val="141A21"/>
          <w:sz w:val="22"/>
        </w:rPr>
        <w:t>Les documents sont ensuite déposés au centre de formalités des entreprises compétent qui s’assure de la véracité des documents justificatifs.</w:t>
      </w:r>
    </w:p>
    <w:p>
      <w:pPr>
        <w:spacing w:before="0" w:after="180" w:line="264" w:lineRule="auto"/>
        <w:ind w:firstLine="340"/>
        <w:jc w:val="both"/>
      </w:pPr>
      <w:r>
        <w:rPr>
          <w:rFonts w:ascii="Cambria" w:hAnsi="Cambria"/>
          <w:b w:val="0"/>
          <w:i w:val="0"/>
          <w:color w:val="141A21"/>
          <w:sz w:val="22"/>
        </w:rPr>
        <w:t>Les documents sont ensuite transmis au greffe du tribunal de commerce compétent, c'est-à-dire celui référencé par rapport à votre siège social.</w:t>
      </w:r>
    </w:p>
    <w:p>
      <w:pPr>
        <w:spacing w:before="0" w:after="180" w:line="264" w:lineRule="auto"/>
        <w:ind w:firstLine="340"/>
        <w:jc w:val="both"/>
      </w:pPr>
      <w:r>
        <w:rPr>
          <w:rFonts w:ascii="Cambria" w:hAnsi="Cambria"/>
          <w:b w:val="0"/>
          <w:i w:val="0"/>
          <w:color w:val="141A21"/>
          <w:sz w:val="22"/>
        </w:rPr>
        <w:t>Cet organe judicaire « enregistre » les informations et établi la fameuse carte d’identité de la société, le KBIS.</w:t>
      </w:r>
    </w:p>
    <w:p>
      <w:pPr>
        <w:spacing w:before="0" w:after="180" w:line="264" w:lineRule="auto"/>
        <w:ind w:firstLine="340"/>
        <w:jc w:val="both"/>
      </w:pPr>
      <w:r>
        <w:rPr>
          <w:rFonts w:ascii="Cambria" w:hAnsi="Cambria"/>
          <w:b w:val="0"/>
          <w:i w:val="0"/>
          <w:color w:val="141A21"/>
          <w:sz w:val="22"/>
        </w:rPr>
        <w:t>Ce sésame indique que la société existe bien et qu’elle légalement effectué des actes de commerce.</w:t>
      </w:r>
    </w:p>
    <w:p>
      <w:r>
        <w:br w:type="page"/>
      </w:r>
    </w:p>
    <w:p>
      <w:pPr>
        <w:pStyle w:val="Heading1"/>
        <w:spacing w:before="800" w:after="160" w:line="276" w:lineRule="auto"/>
      </w:pPr>
      <w:r>
        <w:rPr>
          <w:rFonts w:ascii="Calibri" w:hAnsi="Calibri"/>
          <w:b/>
          <w:i w:val="0"/>
          <w:color w:val="8A6D2A"/>
          <w:sz w:val="48"/>
        </w:rPr>
        <w:t>Partie IV — La holding</w:t>
      </w:r>
    </w:p>
    <w:p>
      <w:r>
        <w:br w:type="page"/>
      </w:r>
    </w:p>
    <w:p>
      <w:pPr>
        <w:pStyle w:val="Heading2"/>
        <w:spacing w:before="240" w:after="200" w:line="276" w:lineRule="auto"/>
      </w:pPr>
      <w:r>
        <w:rPr>
          <w:rFonts w:ascii="Calibri" w:hAnsi="Calibri"/>
          <w:b/>
          <w:i w:val="0"/>
          <w:color w:val="8A6D2A"/>
          <w:sz w:val="36"/>
        </w:rPr>
        <w:t>Chapitre 17 — Le principe général de la holding</w:t>
      </w:r>
    </w:p>
    <w:p>
      <w:pPr>
        <w:spacing w:before="0" w:after="180" w:line="264" w:lineRule="auto"/>
        <w:jc w:val="both"/>
      </w:pPr>
      <w:r>
        <w:rPr>
          <w:rFonts w:ascii="Cambria" w:hAnsi="Cambria"/>
          <w:b w:val="0"/>
          <w:i w:val="0"/>
          <w:color w:val="141A21"/>
          <w:sz w:val="22"/>
        </w:rPr>
        <w:t>Principe général de la holdingQu’est-ce qu’une Holding ?</w:t>
      </w:r>
    </w:p>
    <w:p>
      <w:pPr>
        <w:spacing w:before="0" w:after="180" w:line="264" w:lineRule="auto"/>
        <w:ind w:firstLine="340"/>
        <w:jc w:val="both"/>
      </w:pPr>
      <w:r>
        <w:rPr>
          <w:rFonts w:ascii="Cambria" w:hAnsi="Cambria"/>
          <w:b w:val="0"/>
          <w:i w:val="0"/>
          <w:color w:val="141A21"/>
          <w:sz w:val="22"/>
        </w:rPr>
        <w:t>Schéma général</w:t>
      </w:r>
    </w:p>
    <w:p>
      <w:pPr>
        <w:spacing w:before="0" w:after="180" w:line="264" w:lineRule="auto"/>
        <w:ind w:firstLine="340"/>
        <w:jc w:val="both"/>
      </w:pPr>
      <w:r>
        <w:rPr>
          <w:rFonts w:ascii="Cambria" w:hAnsi="Cambria"/>
          <w:b w:val="0"/>
          <w:i w:val="0"/>
          <w:color w:val="141A21"/>
          <w:sz w:val="22"/>
        </w:rPr>
        <w:t>Elements légaux (lois qui encadrent les holdings)</w:t>
      </w:r>
    </w:p>
    <w:p>
      <w:pPr>
        <w:spacing w:before="0" w:after="180" w:line="264" w:lineRule="auto"/>
        <w:ind w:firstLine="340"/>
        <w:jc w:val="both"/>
      </w:pPr>
      <w:r>
        <w:rPr>
          <w:rFonts w:ascii="Cambria" w:hAnsi="Cambria"/>
          <w:b w:val="0"/>
          <w:i w:val="0"/>
          <w:color w:val="141A21"/>
          <w:sz w:val="22"/>
        </w:rPr>
        <w:t>Nous y voila, enfin on va rentrer dans le dur, la création d’un « holding » ou en français d’une « société mère », je vous l’avoue ca en jette moins que HOLDING.</w:t>
      </w:r>
    </w:p>
    <w:p>
      <w:pPr>
        <w:spacing w:before="0" w:after="180" w:line="264" w:lineRule="auto"/>
        <w:ind w:firstLine="340"/>
        <w:jc w:val="both"/>
      </w:pPr>
      <w:r>
        <w:rPr>
          <w:rFonts w:ascii="Cambria" w:hAnsi="Cambria"/>
          <w:b w:val="0"/>
          <w:i w:val="0"/>
          <w:color w:val="141A21"/>
          <w:sz w:val="22"/>
        </w:rPr>
        <w:t>Au fait, c’est quoi un holding ?</w:t>
      </w:r>
    </w:p>
    <w:p>
      <w:pPr>
        <w:spacing w:before="0" w:after="180" w:line="264" w:lineRule="auto"/>
        <w:ind w:firstLine="340"/>
        <w:jc w:val="both"/>
      </w:pPr>
      <w:r>
        <w:rPr>
          <w:rFonts w:ascii="Cambria" w:hAnsi="Cambria"/>
          <w:b w:val="0"/>
          <w:i w:val="0"/>
          <w:color w:val="141A21"/>
          <w:sz w:val="22"/>
        </w:rPr>
        <w:t>Ce montage juridique que j’ai découvert un peu par nécessité en 1992 est le plus souvent utilisé par des grands groupes.</w:t>
      </w:r>
    </w:p>
    <w:p>
      <w:pPr>
        <w:spacing w:before="0" w:after="180" w:line="264" w:lineRule="auto"/>
        <w:ind w:firstLine="340"/>
        <w:jc w:val="both"/>
      </w:pPr>
      <w:r>
        <w:rPr>
          <w:rFonts w:ascii="Cambria" w:hAnsi="Cambria"/>
          <w:b w:val="0"/>
          <w:i w:val="0"/>
          <w:color w:val="141A21"/>
          <w:sz w:val="22"/>
        </w:rPr>
        <w:t>Pour ma part, j’ai vraiment utilisé et adapté ce montage après l’étude du parcours d’un homme, Bernard ARNAUT. Quand je pense que cet homme a repris une société, certes connue et a bâti un empire grâce à la magie des effets de leviers et des montages juridiques, je suis sous le charme.</w:t>
      </w:r>
    </w:p>
    <w:p>
      <w:pPr>
        <w:spacing w:before="0" w:after="180" w:line="264" w:lineRule="auto"/>
        <w:ind w:firstLine="340"/>
        <w:jc w:val="both"/>
      </w:pPr>
      <w:r>
        <w:rPr>
          <w:rFonts w:ascii="Cambria" w:hAnsi="Cambria"/>
          <w:b w:val="0"/>
          <w:i w:val="0"/>
          <w:color w:val="141A21"/>
          <w:sz w:val="22"/>
        </w:rPr>
        <w:t>Evidemment et humblement je ne peux comparer mon TRIANGLE MAGIQUE a Bernard ARNALT mais je peux dire que le TRIANGLE est étudié comme un montage juridique permettant de développé ses activités commerciales tout en construisant un patrimoine professionnel.</w:t>
      </w:r>
    </w:p>
    <w:p>
      <w:pPr>
        <w:spacing w:before="0" w:after="180" w:line="264" w:lineRule="auto"/>
        <w:ind w:firstLine="340"/>
        <w:jc w:val="both"/>
      </w:pPr>
      <w:r>
        <w:rPr>
          <w:rFonts w:ascii="Cambria" w:hAnsi="Cambria"/>
          <w:b w:val="0"/>
          <w:i w:val="0"/>
          <w:color w:val="141A21"/>
          <w:sz w:val="22"/>
        </w:rPr>
        <w:t>Cette structure juridique est adoptée également par des professionnels du chiffre et du droit comme l’a très bien exposé Rémi DUMAS dans son ouvrage sur les « micro-holding familiale ». Comme l’indique Frédéric LUCET, agrégé des facultés de Droit sur ce livre : « L’ouvrage est précieux pour ceux qui projettent d’organiser leur patrimoine personnel ou professionnel, sans oublier de le transmettre en temps et en heure… »</w:t>
      </w:r>
    </w:p>
    <w:p>
      <w:pPr>
        <w:spacing w:before="0" w:after="180" w:line="264" w:lineRule="auto"/>
        <w:ind w:firstLine="340"/>
        <w:jc w:val="both"/>
      </w:pPr>
      <w:r>
        <w:rPr>
          <w:rFonts w:ascii="Cambria" w:hAnsi="Cambria"/>
          <w:b w:val="0"/>
          <w:i w:val="0"/>
          <w:color w:val="141A21"/>
          <w:sz w:val="22"/>
        </w:rPr>
        <w:t>Oui cela retrace bien la philosophie du « holding » qui restera toujours une technique privilégiée pour la transmission, mais elle peut davantage être envisagée comme une technique d’anticipation pour organiser et développer. En effet, conçue au départ comme un moyen d’organiser un rassemblement de compétences ou d’apports de capitaux en vue de les faire fructifier par une exploitation commerciale ou industrielle, la société s’est déplacée sur le terrain de la gestion de patrimoine. Qui n’a jamais entendu parler de la Société Civile Immobilière, de SICAV, de société pluri propriété ? Ces sociétés ne visent nullement à mettre en œuvre une quelconque exploitation commerciale ou industrielle, mais bien à permettre à leurs associés de posséder et de gérer à plusieurs un bien indivisible tout en se répartissant les fruits de cette gestion (location, spéculation, occupation, pour ne citer que les cas les plus connus).</w:t>
      </w:r>
    </w:p>
    <w:p>
      <w:pPr>
        <w:spacing w:before="0" w:after="180" w:line="264" w:lineRule="auto"/>
        <w:ind w:firstLine="340"/>
        <w:jc w:val="both"/>
      </w:pPr>
      <w:r>
        <w:rPr>
          <w:rFonts w:ascii="Cambria" w:hAnsi="Cambria"/>
          <w:b w:val="0"/>
          <w:i w:val="0"/>
          <w:color w:val="141A21"/>
          <w:sz w:val="22"/>
        </w:rPr>
        <w:t>L’utilisation de la forme juridique de la société comme outil d’organisation du patrimoine d’une ou des entreprises connait un certain essor avec l’usage de la holding.</w:t>
      </w:r>
    </w:p>
    <w:p>
      <w:pPr>
        <w:spacing w:before="0" w:after="180" w:line="264" w:lineRule="auto"/>
        <w:ind w:firstLine="340"/>
        <w:jc w:val="both"/>
      </w:pPr>
      <w:r>
        <w:rPr>
          <w:rFonts w:ascii="Cambria" w:hAnsi="Cambria"/>
          <w:b w:val="0"/>
          <w:i w:val="0"/>
          <w:color w:val="141A21"/>
          <w:sz w:val="22"/>
        </w:rPr>
        <w:t>Beaucoup de gens en parlent et souvent en rêve sans savoir réellement de quoi il retourne.</w:t>
      </w:r>
    </w:p>
    <w:p>
      <w:pPr>
        <w:spacing w:before="0" w:after="180" w:line="264" w:lineRule="auto"/>
        <w:ind w:firstLine="340"/>
        <w:jc w:val="both"/>
      </w:pPr>
      <w:r>
        <w:rPr>
          <w:rFonts w:ascii="Cambria" w:hAnsi="Cambria"/>
          <w:b w:val="0"/>
          <w:i w:val="0"/>
          <w:color w:val="141A21"/>
          <w:sz w:val="22"/>
        </w:rPr>
        <w:t>Un holding est une société (SA, SARL, SCP, SAS ou tout autre forme de société légalement reconnue) qui détient partiellement ou totalement le capital social d’autres sociétés. En effet pour que l’intérêt du montage juridique soit optimum, il faut que le holding détienne plusieurs sociétés, le minimum étant 2 sociétés filles ou filiales afin de constituer un triangle (holding à la tête et deux filles à la base) et magique car cette entité économique unique va utiliser un pouvoir magique sur l’impôt qui est l’application fiscale du régime « mère-fille », c'est-à-dire que le holding est le plus souvent une « société mère » possédant tout ou partie du capital de « sociétés filles » et vers laquelle remonte l’ensemble des bénéfices et des pertes éventuelles enregistrées par ces dernières.</w:t>
      </w:r>
    </w:p>
    <w:p>
      <w:pPr>
        <w:spacing w:before="0" w:after="180" w:line="264" w:lineRule="auto"/>
        <w:ind w:firstLine="340"/>
        <w:jc w:val="both"/>
      </w:pPr>
      <w:r>
        <w:rPr>
          <w:rFonts w:ascii="Cambria" w:hAnsi="Cambria"/>
          <w:b w:val="0"/>
          <w:i w:val="0"/>
          <w:color w:val="141A21"/>
          <w:sz w:val="22"/>
        </w:rPr>
        <w:t>Au dépend de l’aspect purement financier de ce concept, notons au passage que la détention du capital de plusieurs filiales (autre terme pour « sociétés filles ») par une seule entité juridique (la société mère) permet une gestion beaucoup plus efficace de l’activité de ces sociétés, tout est décidé en haut, entre les associés ou les actionnaires de la société holding.</w:t>
      </w:r>
    </w:p>
    <w:p>
      <w:pPr>
        <w:spacing w:before="0" w:after="180" w:line="264" w:lineRule="auto"/>
        <w:ind w:firstLine="340"/>
        <w:jc w:val="both"/>
      </w:pPr>
      <w:r>
        <w:rPr>
          <w:rFonts w:ascii="Cambria" w:hAnsi="Cambria"/>
          <w:b w:val="0"/>
          <w:i w:val="0"/>
          <w:color w:val="141A21"/>
          <w:sz w:val="22"/>
        </w:rPr>
        <w:t>Une société holding fonctionne donc de la même manière que toute société, au moins en ce qui concerne les prises de décisions en assemblées générales, ordinaires ou extraordinaires et ces obligations comptables.</w:t>
      </w:r>
    </w:p>
    <w:p>
      <w:pPr>
        <w:spacing w:before="0" w:after="180" w:line="264" w:lineRule="auto"/>
        <w:ind w:firstLine="340"/>
        <w:jc w:val="both"/>
      </w:pPr>
      <w:r>
        <w:rPr>
          <w:rFonts w:ascii="Cambria" w:hAnsi="Cambria"/>
          <w:b w:val="0"/>
          <w:i w:val="0"/>
          <w:color w:val="141A21"/>
          <w:sz w:val="22"/>
        </w:rPr>
        <w:t>En revanché, en termes d’activité, une société holding ne produira normalement aucune activité, ni bien ni service. Dans les faits, elle n’aura normalement aucune activité commerciale ou industrielle de vente, de transformation ou de production.</w:t>
      </w:r>
    </w:p>
    <w:p>
      <w:pPr>
        <w:spacing w:before="0" w:after="180" w:line="264" w:lineRule="auto"/>
        <w:ind w:firstLine="340"/>
        <w:jc w:val="both"/>
      </w:pPr>
      <w:r>
        <w:rPr>
          <w:rFonts w:ascii="Cambria" w:hAnsi="Cambria"/>
          <w:b w:val="0"/>
          <w:i w:val="0"/>
          <w:color w:val="141A21"/>
          <w:sz w:val="22"/>
        </w:rPr>
        <w:t>Quel est l’intérêt :</w:t>
      </w:r>
    </w:p>
    <w:p>
      <w:pPr>
        <w:spacing w:before="0" w:after="180" w:line="264" w:lineRule="auto"/>
        <w:ind w:firstLine="340"/>
        <w:jc w:val="both"/>
      </w:pPr>
      <w:r>
        <w:rPr>
          <w:rFonts w:ascii="Cambria" w:hAnsi="Cambria"/>
          <w:b w:val="0"/>
          <w:i w:val="0"/>
          <w:color w:val="141A21"/>
          <w:sz w:val="22"/>
        </w:rPr>
        <w:t>Le mécanisme de la holding présente des intérêts financiers et fiscaux intéressants ;</w:t>
      </w:r>
    </w:p>
    <w:p>
      <w:pPr>
        <w:spacing w:before="0" w:after="180" w:line="264" w:lineRule="auto"/>
        <w:ind w:firstLine="340"/>
        <w:jc w:val="both"/>
      </w:pPr>
      <w:r>
        <w:rPr>
          <w:rFonts w:ascii="Cambria" w:hAnsi="Cambria"/>
          <w:b w:val="0"/>
          <w:i w:val="0"/>
          <w:color w:val="141A21"/>
          <w:sz w:val="22"/>
        </w:rPr>
        <w:t>Le recours à une société holding permet une transmission d’entreprise facilitée tout en poursuivant l’activité et en évitant un démantèlement fatal de la société ;</w:t>
      </w:r>
    </w:p>
    <w:p>
      <w:pPr>
        <w:spacing w:before="0" w:after="180" w:line="264" w:lineRule="auto"/>
        <w:ind w:firstLine="340"/>
        <w:jc w:val="both"/>
      </w:pPr>
      <w:r>
        <w:rPr>
          <w:rFonts w:ascii="Cambria" w:hAnsi="Cambria"/>
          <w:b w:val="0"/>
          <w:i w:val="0"/>
          <w:color w:val="141A21"/>
          <w:sz w:val="22"/>
        </w:rPr>
        <w:t>La création d’une société holding n’est pas soumise à une notion de « taille » (physique ou financière) de l’entreprise, mais bien au simple respect d’un mécanisme juridique applicable à toutes les situations.</w:t>
      </w:r>
    </w:p>
    <w:p>
      <w:pPr>
        <w:spacing w:before="0" w:after="180" w:line="264" w:lineRule="auto"/>
        <w:ind w:firstLine="340"/>
        <w:jc w:val="both"/>
      </w:pPr>
      <w:r>
        <w:rPr>
          <w:rFonts w:ascii="Cambria" w:hAnsi="Cambria"/>
          <w:b w:val="0"/>
          <w:i w:val="0"/>
          <w:color w:val="141A21"/>
          <w:sz w:val="22"/>
        </w:rPr>
        <w:t>Dans son ouvrage, Rémi DUMAS, a adjoint le qualificatif « micro-holding familiale » car il renvoie à une ambition de son ouvrage, qui est en fait de démontrer que le mécanisme de la holding trouve à s’appliquer dans toutes les formes de sociétés, cependant il l’aborde avant tout sous l’angle de la succession. Je suis en accord avec lui sur ce point car je pense que le plus souvent l’ENTREPRENEUR lorsqu’il a créée son environnement professionnel, il souhaite le transmettre, même si aucun de ses héritiers n’est intéressé par la gestion de l’entreprise, il espère toujours un peu au départ de la création de sa société qu’un de ses enfants sera heureux de travailler avec lui. Bon d’accord ce n’est pas toujours la solution la plus simple pour l’heureux élu, quoi qu’en dise les autres héritiers qui eux n’ont pas voulu travailler avec leurs parents.</w:t>
      </w:r>
    </w:p>
    <w:p>
      <w:pPr>
        <w:spacing w:before="0" w:after="180" w:line="264" w:lineRule="auto"/>
        <w:ind w:firstLine="340"/>
        <w:jc w:val="both"/>
      </w:pPr>
      <w:r>
        <w:rPr>
          <w:rFonts w:ascii="Cambria" w:hAnsi="Cambria"/>
          <w:b w:val="0"/>
          <w:i w:val="0"/>
          <w:color w:val="141A21"/>
          <w:sz w:val="22"/>
        </w:rPr>
        <w:t>Nous verrons comment la holding permet une transmission facilitée et fiscalement allégée d’une entreprise et/ou de biens relevant d’un patrimoine familial.</w:t>
      </w:r>
    </w:p>
    <w:p>
      <w:pPr>
        <w:spacing w:before="0" w:after="180" w:line="264" w:lineRule="auto"/>
        <w:ind w:firstLine="340"/>
        <w:jc w:val="both"/>
      </w:pPr>
      <w:r>
        <w:rPr>
          <w:rFonts w:ascii="Cambria" w:hAnsi="Cambria"/>
          <w:b w:val="0"/>
          <w:i w:val="0"/>
          <w:color w:val="141A21"/>
          <w:sz w:val="22"/>
        </w:rPr>
        <w:t>Le holding, une société sans activité proprement productive. C’est une société dont la vocation (l’objet social) est la détention de participations dans une ou plusieurs autres sociétés.</w:t>
      </w:r>
    </w:p>
    <w:p>
      <w:pPr>
        <w:spacing w:before="0" w:after="180" w:line="264" w:lineRule="auto"/>
        <w:ind w:firstLine="340"/>
        <w:jc w:val="both"/>
      </w:pPr>
      <w:r>
        <w:rPr>
          <w:rFonts w:ascii="Cambria" w:hAnsi="Cambria"/>
          <w:b w:val="0"/>
          <w:i w:val="0"/>
          <w:color w:val="141A21"/>
          <w:sz w:val="22"/>
        </w:rPr>
        <w:t>Cette détention consiste, concrètement, en la possession d’un nombre significatif de titres, permettant à cette société-holding de contrôler des sociétés (appelées filiales) dont elle détient une part souvent prépondérante du capital social.</w:t>
      </w:r>
    </w:p>
    <w:p>
      <w:pPr>
        <w:spacing w:before="0" w:after="180" w:line="264" w:lineRule="auto"/>
        <w:ind w:firstLine="340"/>
        <w:jc w:val="both"/>
      </w:pPr>
      <w:r>
        <w:rPr>
          <w:rFonts w:ascii="Cambria" w:hAnsi="Cambria"/>
          <w:b w:val="0"/>
          <w:i w:val="0"/>
          <w:color w:val="141A21"/>
          <w:sz w:val="22"/>
        </w:rPr>
        <w:t>Il n’y a pas en droit français des sociétés, une forme particulière de société « holding ». Toute forme de société peut être utilisée pour jouer le rôle de « holding ».</w:t>
      </w:r>
    </w:p>
    <w:p>
      <w:pPr>
        <w:spacing w:before="0" w:after="180" w:line="264" w:lineRule="auto"/>
        <w:ind w:firstLine="340"/>
        <w:jc w:val="both"/>
      </w:pPr>
      <w:r>
        <w:rPr>
          <w:rFonts w:ascii="Cambria" w:hAnsi="Cambria"/>
          <w:b w:val="0"/>
          <w:i w:val="0"/>
          <w:color w:val="141A21"/>
          <w:sz w:val="22"/>
        </w:rPr>
        <w:t>Dans le cadre de son livre, Rémi DUMAS propose une organisation juridique par société micro-holding et ferra référence à la société civile de portefeuille(SCP) ou à la société en commandite simple (SCS). Ces deux sociétés présentent, pour lui, l’avantage d’être peu réglementées et donc relativement souples quant à leurs règles de fonctionnement. Elles pourront être adaptées plus facilement aux priorités du ou des fondateurs. D’un point fiscal, elles sont assujetties à l’impôt sur les sociétés sur option certaines déductions de charges étant plus favorables pour les sociétés et le taux d’imposition, certains contribuables étant taxés à plus que les 28%. Pour ma part je préfère la SAS, car cette société commerciale est « malléable » on l’organise comme on veut (se référer aux chapitres précédents).</w:t>
      </w:r>
    </w:p>
    <w:p>
      <w:pPr>
        <w:spacing w:before="0" w:after="180" w:line="264" w:lineRule="auto"/>
        <w:ind w:firstLine="340"/>
        <w:jc w:val="both"/>
      </w:pPr>
      <w:r>
        <w:rPr>
          <w:rFonts w:ascii="Cambria" w:hAnsi="Cambria"/>
          <w:b w:val="0"/>
          <w:i w:val="0"/>
          <w:color w:val="141A21"/>
          <w:sz w:val="22"/>
        </w:rPr>
        <w:t>De plus en plus, la question du recours à un holding se pose lors de transmissions patrimoniales. Par manque d’information, beaucoup hésitent encore à franchir le pas et à se lancer dans la création d’une société holding personnelle.</w:t>
      </w:r>
    </w:p>
    <w:p>
      <w:pPr>
        <w:spacing w:before="0" w:after="180" w:line="264" w:lineRule="auto"/>
        <w:ind w:firstLine="340"/>
        <w:jc w:val="both"/>
      </w:pPr>
      <w:r>
        <w:rPr>
          <w:rFonts w:ascii="Cambria" w:hAnsi="Cambria"/>
          <w:b w:val="0"/>
          <w:i w:val="0"/>
          <w:color w:val="141A21"/>
          <w:sz w:val="22"/>
        </w:rPr>
        <w:t>La société holding par rapport à une croissance anarchique d’un patrimoine personnel, outre l’effet de levier, c’est qu’elle oblige à hiérarchiser ses priorités.</w:t>
      </w:r>
    </w:p>
    <w:p>
      <w:pPr>
        <w:spacing w:before="0" w:after="180" w:line="264" w:lineRule="auto"/>
        <w:ind w:firstLine="340"/>
        <w:jc w:val="both"/>
      </w:pPr>
      <w:r>
        <w:rPr>
          <w:rFonts w:ascii="Cambria" w:hAnsi="Cambria"/>
          <w:b w:val="0"/>
          <w:i w:val="0"/>
          <w:color w:val="141A21"/>
          <w:sz w:val="22"/>
        </w:rPr>
        <w:t>Dans tout projet d’investissement, de placement, 50% du gain final dépend du choix de la meilleure structure juridique et fiscale de détention.</w:t>
      </w:r>
    </w:p>
    <w:p>
      <w:pPr>
        <w:spacing w:before="0" w:after="180" w:line="264" w:lineRule="auto"/>
        <w:ind w:firstLine="340"/>
        <w:jc w:val="both"/>
      </w:pPr>
      <w:r>
        <w:rPr>
          <w:rFonts w:ascii="Cambria" w:hAnsi="Cambria"/>
          <w:b w:val="0"/>
          <w:i w:val="0"/>
          <w:color w:val="141A21"/>
          <w:sz w:val="22"/>
        </w:rPr>
        <w:t>Le holding va permettre au chef d’entreprise d’organiser et de planifier la transmission de son actif professionnel (ou familial) avec une plus grande sérénité. De plus, le caractère éventuellement « progressiste » de la transmission facilitera, tant d’un point de vue psychologique qu’opérationnel, le passage du relais.</w:t>
      </w:r>
    </w:p>
    <w:p>
      <w:pPr>
        <w:spacing w:before="0" w:after="180" w:line="264" w:lineRule="auto"/>
        <w:ind w:firstLine="340"/>
        <w:jc w:val="both"/>
      </w:pPr>
      <w:r>
        <w:rPr>
          <w:rFonts w:ascii="Cambria" w:hAnsi="Cambria"/>
          <w:b w:val="0"/>
          <w:i w:val="0"/>
          <w:color w:val="141A21"/>
          <w:sz w:val="22"/>
        </w:rPr>
        <w:t>Pour illustrer ce montage nous aborderons le LBO (leverage buy out) ou « reprise avec effet de levier » qui est une opération par laquelle des investisseurs acquièrent une entreprise dite « cible », à travers un holding, société crée pour l’occasion et dont la seule vocation est d’acquérir et de détenir des titres financiers.</w:t>
      </w:r>
    </w:p>
    <w:p>
      <w:pPr>
        <w:spacing w:before="0" w:after="180" w:line="264" w:lineRule="auto"/>
        <w:ind w:firstLine="340"/>
        <w:jc w:val="both"/>
      </w:pPr>
      <w:r>
        <w:rPr>
          <w:rFonts w:ascii="Cambria" w:hAnsi="Cambria"/>
          <w:b w:val="0"/>
          <w:i w:val="0"/>
          <w:color w:val="141A21"/>
          <w:sz w:val="22"/>
        </w:rPr>
        <w:t>Cette société holding a trois objectifs majeurs :</w:t>
      </w:r>
    </w:p>
    <w:p>
      <w:pPr>
        <w:spacing w:before="0" w:after="180" w:line="264" w:lineRule="auto"/>
        <w:ind w:firstLine="340"/>
        <w:jc w:val="both"/>
      </w:pPr>
      <w:r>
        <w:rPr>
          <w:rFonts w:ascii="Cambria" w:hAnsi="Cambria"/>
          <w:b w:val="0"/>
          <w:i w:val="0"/>
          <w:color w:val="141A21"/>
          <w:sz w:val="22"/>
        </w:rPr>
        <w:t>Racheter une société cible ou un bien immobilier ;</w:t>
      </w:r>
    </w:p>
    <w:p>
      <w:pPr>
        <w:spacing w:before="0" w:after="180" w:line="264" w:lineRule="auto"/>
        <w:ind w:firstLine="340"/>
        <w:jc w:val="both"/>
      </w:pPr>
      <w:r>
        <w:rPr>
          <w:rFonts w:ascii="Cambria" w:hAnsi="Cambria"/>
          <w:b w:val="0"/>
          <w:i w:val="0"/>
          <w:color w:val="141A21"/>
          <w:sz w:val="22"/>
        </w:rPr>
        <w:t>Emprunter des fonds pour financer ce rachat ;</w:t>
      </w:r>
    </w:p>
    <w:p>
      <w:pPr>
        <w:spacing w:before="0" w:after="180" w:line="264" w:lineRule="auto"/>
        <w:ind w:firstLine="340"/>
        <w:jc w:val="both"/>
      </w:pPr>
      <w:r>
        <w:rPr>
          <w:rFonts w:ascii="Cambria" w:hAnsi="Cambria"/>
          <w:b w:val="0"/>
          <w:i w:val="0"/>
          <w:color w:val="141A21"/>
          <w:sz w:val="22"/>
        </w:rPr>
        <w:t>Rembourser cet emprunt au moyen des bénéfices de la cible.</w:t>
      </w:r>
    </w:p>
    <w:p>
      <w:pPr>
        <w:spacing w:before="0" w:after="180" w:line="264" w:lineRule="auto"/>
        <w:ind w:firstLine="340"/>
        <w:jc w:val="both"/>
      </w:pPr>
      <w:r>
        <w:rPr>
          <w:rFonts w:ascii="Cambria" w:hAnsi="Cambria"/>
          <w:b w:val="0"/>
          <w:i w:val="0"/>
          <w:color w:val="141A21"/>
          <w:sz w:val="22"/>
        </w:rPr>
        <w:t>Cette technique est parfaitement bien adaptée aux problèmes de transmission patrimoniale. Dans la majorité des cas, la transmission d’un patrimoine détenu en nom propre ne peut s’effectuer sans une multitude d’intervenants (notaires, avocats, conseillers juridiques, experts-comptables, etc.) l’avantage est de vous permettre d’agir seul, en toute indépendance, sans devoir payer des conseils onéreux, ça dépend vers qui vous vous tournez pour vous aider dans ce domaine. La transmission du patrimoine s’échelonne dans le temps et le moment tant redouté de la succession n’est en réalité que la continuité d’un processus sécurisant, amorcé depuis plusieurs mois ou de préférence plusieurs années. La transmission s’effectue simplement, sans atermoiement ni décisions prises dans l’urgence.</w:t>
      </w:r>
    </w:p>
    <w:p>
      <w:pPr>
        <w:spacing w:before="0" w:after="180" w:line="264" w:lineRule="auto"/>
        <w:ind w:firstLine="340"/>
        <w:jc w:val="both"/>
      </w:pPr>
      <w:r>
        <w:rPr>
          <w:rFonts w:ascii="Cambria" w:hAnsi="Cambria"/>
          <w:b w:val="0"/>
          <w:i w:val="0"/>
          <w:color w:val="141A21"/>
          <w:sz w:val="22"/>
        </w:rPr>
        <w:t>Au delà des aspects opérationnels le holding présente également un intérêt fiscal dès lors qu’est abordée la question des droits de succession. La transmission d’une entreprise (ou d’un patrimoine) est une opération parfois longue, souvent complexe…mais jamais gratuite !</w:t>
      </w:r>
    </w:p>
    <w:p>
      <w:pPr>
        <w:spacing w:before="0" w:after="180" w:line="264" w:lineRule="auto"/>
        <w:ind w:firstLine="340"/>
        <w:jc w:val="both"/>
      </w:pPr>
      <w:r>
        <w:rPr>
          <w:rFonts w:ascii="Cambria" w:hAnsi="Cambria"/>
          <w:b w:val="0"/>
          <w:i w:val="0"/>
          <w:color w:val="141A21"/>
          <w:sz w:val="22"/>
        </w:rPr>
        <w:t>Un chef d’entreprise qui envisage de transmettre sa société à sa descendance se doit d’envisager le problème d’un double point :</w:t>
      </w:r>
    </w:p>
    <w:p>
      <w:pPr>
        <w:spacing w:before="0" w:after="180" w:line="264" w:lineRule="auto"/>
        <w:ind w:firstLine="340"/>
        <w:jc w:val="both"/>
      </w:pPr>
      <w:r>
        <w:rPr>
          <w:rFonts w:ascii="Cambria" w:hAnsi="Cambria"/>
          <w:b w:val="0"/>
          <w:i w:val="0"/>
          <w:color w:val="141A21"/>
          <w:sz w:val="22"/>
        </w:rPr>
        <w:t>Le montant des droits de succession qui seront à verser par ses héritiers (lesquels peuvent aller jusqu’à plomber une reprise d’activité) ;</w:t>
      </w:r>
    </w:p>
    <w:p>
      <w:pPr>
        <w:spacing w:before="0" w:after="180" w:line="264" w:lineRule="auto"/>
        <w:ind w:firstLine="340"/>
        <w:jc w:val="both"/>
      </w:pPr>
      <w:r>
        <w:rPr>
          <w:rFonts w:ascii="Cambria" w:hAnsi="Cambria"/>
          <w:b w:val="0"/>
          <w:i w:val="0"/>
          <w:color w:val="141A21"/>
          <w:sz w:val="22"/>
        </w:rPr>
        <w:t>les risques liés à l’indivision dans le cas d’une succession non préparées : les exigences commerciales d’une société se marient généralement assez mal avec les processus unanimistes de décisions au sein d’une indivision. il en est de mémé par les arbitrages patrimoniaux à réaliser périodiquement.</w:t>
      </w:r>
    </w:p>
    <w:p>
      <w:pPr>
        <w:spacing w:before="0" w:after="180" w:line="264" w:lineRule="auto"/>
        <w:ind w:firstLine="340"/>
        <w:jc w:val="both"/>
      </w:pPr>
      <w:r>
        <w:rPr>
          <w:rFonts w:ascii="Cambria" w:hAnsi="Cambria"/>
          <w:b w:val="0"/>
          <w:i w:val="0"/>
          <w:color w:val="141A21"/>
          <w:sz w:val="22"/>
        </w:rPr>
        <w:t>Le concept juridique afférent à la mise en place de la société holding n’est pas en soi suffisant : il est également indispensable de penser et d’anticiper la transmission.</w:t>
      </w:r>
    </w:p>
    <w:p>
      <w:pPr>
        <w:spacing w:before="0" w:after="180" w:line="264" w:lineRule="auto"/>
        <w:ind w:firstLine="340"/>
        <w:jc w:val="both"/>
      </w:pPr>
      <w:r>
        <w:rPr>
          <w:rFonts w:ascii="Cambria" w:hAnsi="Cambria"/>
          <w:b w:val="0"/>
          <w:i w:val="0"/>
          <w:color w:val="141A21"/>
          <w:sz w:val="22"/>
        </w:rPr>
        <w:t>Pour Rémi DUMAS l’idée consiste à créer une société holding qui rassemblerait les héritiers par une reprise de l’activité. Ces héritiers peuvent apporter des fonds à la création de la holding ou en cas de donation de parts préalable, d’apporter des parts de cette même société « cible ». Comparé aux droits de succession compris entre 20 et 40% pour les descendants, entre 35 et 45% pour les frères et sœurs, 55% lorsque la succession d’effectue au profit de parents jusqu’au 4ème degré et 60% au-delà, le mécanisme est plus économique.</w:t>
      </w:r>
    </w:p>
    <w:p>
      <w:pPr>
        <w:spacing w:before="0" w:after="180" w:line="264" w:lineRule="auto"/>
        <w:ind w:firstLine="340"/>
        <w:jc w:val="both"/>
      </w:pPr>
      <w:r>
        <w:rPr>
          <w:rFonts w:ascii="Cambria" w:hAnsi="Cambria"/>
          <w:b w:val="0"/>
          <w:i w:val="0"/>
          <w:color w:val="141A21"/>
          <w:sz w:val="22"/>
        </w:rPr>
        <w:t>La loi TEPA votée en 2007 a allégé le poids des droits de succession, mais en 2011 pour des raisons de déficits budgétaires cela a été limité et s’accentue dès le 2ème semestre 2012…allez savoir pourquoi ? Un gouvernement en place qui n’aime pas les chefs d’entreprises et tout bascule.</w:t>
      </w:r>
    </w:p>
    <w:p>
      <w:pPr>
        <w:spacing w:before="0" w:after="180" w:line="264" w:lineRule="auto"/>
        <w:ind w:firstLine="340"/>
        <w:jc w:val="both"/>
      </w:pPr>
      <w:r>
        <w:rPr>
          <w:rFonts w:ascii="Cambria" w:hAnsi="Cambria"/>
          <w:b w:val="0"/>
          <w:i w:val="0"/>
          <w:color w:val="141A21"/>
          <w:sz w:val="22"/>
        </w:rPr>
        <w:t>Pour ma part je conseille de créer un holding, au début de son activité professionnelle ou dans les premières années, en s’associant avec des personnes de confiance mais en gardant la grande majorité du capital soit environ 95%. En effet dans les premiers temps, vous allez devoir prendre pleins de décisions et même si les avis des autres membres sont importants comme nous l’avons vu précédemment, il faut aussi que votre visions entrepreneuriale puisse se mettre en place. De plus c’est vous qui financer donc qui décider. Vous voyez bien que le capital d’un holding n’est pas structurer comme je conseille la création de sociétés d’exploitation, a créer avec d’autres partenaires, mais votre holding doit être à votre image et un conseil maintenez cette image, c’est très important.</w:t>
      </w:r>
    </w:p>
    <w:p>
      <w:pPr>
        <w:spacing w:before="0" w:after="180" w:line="264" w:lineRule="auto"/>
        <w:ind w:firstLine="340"/>
        <w:jc w:val="both"/>
      </w:pPr>
      <w:r>
        <w:rPr>
          <w:rFonts w:ascii="Cambria" w:hAnsi="Cambria"/>
          <w:b w:val="0"/>
          <w:i w:val="0"/>
          <w:color w:val="141A21"/>
          <w:sz w:val="22"/>
        </w:rPr>
        <w:t>Bien sur le temps avançant, cette société doit permettre de transmettre son patrimoine à ses enfants et ou à d’autres personnes. Il convient de se référer à son projet initial de 30 ans et de constater que les différentes étapes que nous avions envisagé arrivent au fur et à mesure, tel un « retour vers le futur ». J’aime vraiment bien cette métaphore car elle traduit bien en synthèse la vie de l’ENTREPRENEUR, il se voit dans 30 ans arrivé à tel situation que ce soit financière, politique ou de pouvoir et il doit néanmoins revenir à la réalité et s’apercevoir que les choses ne se déroulent pas comme prévue et il doit tout faire pour les « ramener » dans son projet de vie.</w:t>
      </w:r>
    </w:p>
    <w:p>
      <w:pPr>
        <w:spacing w:before="0" w:after="180" w:line="264" w:lineRule="auto"/>
        <w:ind w:firstLine="340"/>
        <w:jc w:val="both"/>
      </w:pPr>
      <w:r>
        <w:rPr>
          <w:rFonts w:ascii="Cambria" w:hAnsi="Cambria"/>
          <w:b w:val="0"/>
          <w:i w:val="0"/>
          <w:color w:val="141A21"/>
          <w:sz w:val="22"/>
        </w:rPr>
        <w:t>La société holding peut procéder une gestion durable de l’activité après le décès du fondateur ou après sa cessation d’activité. Si les enfants souhaitant poursuivre l’activité ils pourront créer une holding chacun et y apporter leurs tires, créant ainsi une structure stable propice aux décisions relatives à l’exploitation. Cette structure holding va utiliser l’effet LBO pour acquérir les parts des autres héritiers qui ne souhaitent pas poursuivre l’activité, soit à l’aide des dividendes perçus, soit à l’aide d’un emprunt.</w:t>
      </w:r>
    </w:p>
    <w:p>
      <w:pPr>
        <w:spacing w:before="0" w:after="180" w:line="264" w:lineRule="auto"/>
        <w:ind w:firstLine="340"/>
        <w:jc w:val="both"/>
      </w:pPr>
      <w:r>
        <w:rPr>
          <w:rFonts w:ascii="Cambria" w:hAnsi="Cambria"/>
          <w:b w:val="0"/>
          <w:i w:val="0"/>
          <w:color w:val="141A21"/>
          <w:sz w:val="22"/>
        </w:rPr>
        <w:t>La création d’une société est une étape capitale. De la bonne réalisation de cette étape peut découler la réussite ou l’échec du projet. En matière de société holding, ces options sont essentiellement relatives à la forme de la société elle-même, ainsi qu’aux apports.</w:t>
      </w:r>
    </w:p>
    <w:p>
      <w:pPr>
        <w:spacing w:before="0" w:after="180" w:line="264" w:lineRule="auto"/>
        <w:ind w:firstLine="340"/>
        <w:jc w:val="both"/>
      </w:pPr>
      <w:r>
        <w:rPr>
          <w:rFonts w:ascii="Cambria" w:hAnsi="Cambria"/>
          <w:b w:val="0"/>
          <w:i w:val="0"/>
          <w:color w:val="141A21"/>
          <w:sz w:val="22"/>
        </w:rPr>
        <w:t>L’idée de base de la société micro-holding ne doit pas être conçue que comme « véhicule » purement passif, qui se limiterait à transposer dans un cadre sociétaire tout ou partie de son patrimoine privé et professionnel ce qu’on appellerait une société holding passive.</w:t>
      </w:r>
    </w:p>
    <w:p>
      <w:pPr>
        <w:spacing w:before="0" w:after="180" w:line="264" w:lineRule="auto"/>
        <w:ind w:firstLine="340"/>
        <w:jc w:val="both"/>
      </w:pPr>
      <w:r>
        <w:rPr>
          <w:rFonts w:ascii="Cambria" w:hAnsi="Cambria"/>
          <w:b w:val="0"/>
          <w:i w:val="0"/>
          <w:color w:val="141A21"/>
          <w:sz w:val="22"/>
        </w:rPr>
        <w:t>Pour ma part je préfère que le holding soit « actif » c'est-à-dire que ce holding intervienne dans la gestion de ses filiales, on dit que le holding est une « société animatrice ».</w:t>
      </w:r>
    </w:p>
    <w:p>
      <w:pPr>
        <w:spacing w:before="0" w:after="180" w:line="264" w:lineRule="auto"/>
        <w:ind w:firstLine="340"/>
        <w:jc w:val="both"/>
      </w:pPr>
      <w:r>
        <w:rPr>
          <w:rFonts w:ascii="Cambria" w:hAnsi="Cambria"/>
          <w:b w:val="0"/>
          <w:i w:val="0"/>
          <w:color w:val="141A21"/>
          <w:sz w:val="22"/>
        </w:rPr>
        <w:t>Dans une décision du 27 décembre 2005, la Cour de cassation clarifie la distinction entre « holding animatrice » et « holding patrimoniale » et assouplit les conditions et contraintes exigées par l’administration pour permettre à une holding de bénéficier du statut plus favorables de « holding animatrice ».</w:t>
      </w:r>
    </w:p>
    <w:p>
      <w:pPr>
        <w:spacing w:before="0" w:after="180" w:line="264" w:lineRule="auto"/>
        <w:ind w:firstLine="340"/>
        <w:jc w:val="both"/>
      </w:pPr>
      <w:r>
        <w:rPr>
          <w:rFonts w:ascii="Cambria" w:hAnsi="Cambria"/>
          <w:b w:val="0"/>
          <w:i w:val="0"/>
          <w:color w:val="141A21"/>
          <w:sz w:val="22"/>
        </w:rPr>
        <w:t>En fait le ou les dirigeants sont associés majoritaires et salariés de la société holding qui détient plusieurs filiales. Ces dirigeants de part leurs formations comptables ou commerciales peuvent intervenir dans chacune des sociétés filles. Chaque travail méritant un salaire, la société holding facturera des prestations aux sociétés pour lesquelles elle intervient. Ces prestations sont assujetties la plupart du temps à la TVA et à l’IS. Une fois par an, la société holding peur également distribuée des dividendes à ses associés.</w:t>
      </w:r>
    </w:p>
    <w:p>
      <w:pPr>
        <w:spacing w:before="0" w:after="180" w:line="264" w:lineRule="auto"/>
        <w:ind w:firstLine="340"/>
        <w:jc w:val="both"/>
      </w:pPr>
      <w:r>
        <w:rPr>
          <w:rFonts w:ascii="Cambria" w:hAnsi="Cambria"/>
          <w:b w:val="0"/>
          <w:i w:val="0"/>
          <w:color w:val="141A21"/>
          <w:sz w:val="22"/>
        </w:rPr>
        <w:t>De ce fait les associés dirigeants ne sont pas rémunérés par les filiales, qui une fois payé leur prestation au holding, peuvent également distribuer des dividendes à ses associés donc au holding.</w:t>
      </w:r>
    </w:p>
    <w:p>
      <w:pPr>
        <w:spacing w:before="0" w:after="180" w:line="264" w:lineRule="auto"/>
        <w:ind w:firstLine="340"/>
        <w:jc w:val="both"/>
      </w:pPr>
      <w:r>
        <w:rPr>
          <w:rFonts w:ascii="Cambria" w:hAnsi="Cambria"/>
          <w:b w:val="0"/>
          <w:i w:val="0"/>
          <w:color w:val="141A21"/>
          <w:sz w:val="22"/>
        </w:rPr>
        <w:t>Vous avez tout compris ? Tant mieux car c’est grâce à ce montage qu’on peut bénéficier du régime fiscal dit « mère-fille » qui est intéressant dans le développement de votre patrimoine professionnel.</w:t>
      </w:r>
    </w:p>
    <w:p>
      <w:pPr>
        <w:pStyle w:val="Heading3"/>
        <w:spacing w:before="400" w:after="100" w:line="276" w:lineRule="auto"/>
      </w:pPr>
      <w:r>
        <w:rPr>
          <w:rFonts w:ascii="Calibri" w:hAnsi="Calibri"/>
          <w:b/>
          <w:i w:val="0"/>
          <w:color w:val="141A21"/>
          <w:sz w:val="27"/>
        </w:rPr>
        <w:t>Le régime fiscal des sociétés mère et filiales</w:t>
      </w:r>
    </w:p>
    <w:p>
      <w:pPr>
        <w:spacing w:before="0" w:after="180" w:line="264" w:lineRule="auto"/>
        <w:jc w:val="both"/>
      </w:pPr>
      <w:r>
        <w:rPr>
          <w:rFonts w:ascii="Cambria" w:hAnsi="Cambria"/>
          <w:b w:val="0"/>
          <w:i w:val="0"/>
          <w:color w:val="141A21"/>
          <w:sz w:val="22"/>
        </w:rPr>
        <w:t>Le régime fiscal des sociétés « mère et filiales » article 145 du code général des impôts : ce régime est dérogatoire au droit commun et permet d’éviter la doublé imposition des bénéfices. Ce régime évite que les bénéfices de la filiale, elle-même assujettie à l’IS, et distribués à la société mère soit soumis à une double imposition au titre de l’impôt sur les sociétés. Pour bénéficier de ce régime, la société mère doit être soumise à l’impôt sur les sociétés et il suffit d’inscrire chaque année les dividendes perçus sur la ligne adéquate des imprimés de la déclaration fiscale annuelle (n° 2051). Les titres détenus par la société mère dans la filiale doivent être en pleine propriété et représenter au moins 5% du capital, et faire l’objet d’un engagement de conservation de 2 ans au moins. Lorsque ces conditions sont remplies, les produits des actions ou parts d’intérêt de la filiale sont exonérés d’IS chez la société mère défalcation d’une quote-part de frais et chargés fixées forfaitairement à 5% du produit total de la participation. Outre cet avantage fiscal la société holding peut faciliter la diversification du patrimoine du dirigeant et le protéger des aléas toujours possibles de la société opérationnelle en permettant d’augmenter le montant des dividendes payés, sans incidences directes sur la fiscalité personnelle du dirigeant.</w:t>
      </w:r>
    </w:p>
    <w:p>
      <w:pPr>
        <w:spacing w:before="0" w:after="180" w:line="264" w:lineRule="auto"/>
        <w:ind w:firstLine="340"/>
        <w:jc w:val="both"/>
      </w:pPr>
      <w:r>
        <w:rPr>
          <w:rFonts w:ascii="Cambria" w:hAnsi="Cambria"/>
          <w:b w:val="0"/>
          <w:i w:val="0"/>
          <w:color w:val="141A21"/>
          <w:sz w:val="22"/>
        </w:rPr>
        <w:t>Ce régime fiscal n’est pas applicable :</w:t>
      </w:r>
    </w:p>
    <w:p>
      <w:pPr>
        <w:spacing w:before="0" w:after="180" w:line="264" w:lineRule="auto"/>
        <w:ind w:firstLine="340"/>
        <w:jc w:val="both"/>
      </w:pPr>
      <w:r>
        <w:rPr>
          <w:rFonts w:ascii="Cambria" w:hAnsi="Cambria"/>
          <w:b w:val="0"/>
          <w:i w:val="0"/>
          <w:color w:val="141A21"/>
          <w:sz w:val="22"/>
        </w:rPr>
        <w:t>Aux produits des actions des sociétés d’investissement, des sociétés de développement régional ;</w:t>
      </w:r>
    </w:p>
    <w:p>
      <w:pPr>
        <w:spacing w:before="0" w:after="180" w:line="264" w:lineRule="auto"/>
        <w:ind w:firstLine="340"/>
        <w:jc w:val="both"/>
      </w:pPr>
      <w:r>
        <w:rPr>
          <w:rFonts w:ascii="Cambria" w:hAnsi="Cambria"/>
          <w:b w:val="0"/>
          <w:i w:val="0"/>
          <w:color w:val="141A21"/>
          <w:sz w:val="22"/>
        </w:rPr>
        <w:t>Aux produits des titres auxquels ne sont pas attachés des droits de vote ;</w:t>
      </w:r>
    </w:p>
    <w:p>
      <w:pPr>
        <w:spacing w:before="0" w:after="180" w:line="264" w:lineRule="auto"/>
        <w:ind w:firstLine="340"/>
        <w:jc w:val="both"/>
      </w:pPr>
      <w:r>
        <w:rPr>
          <w:rFonts w:ascii="Cambria" w:hAnsi="Cambria"/>
          <w:b w:val="0"/>
          <w:i w:val="0"/>
          <w:color w:val="141A21"/>
          <w:sz w:val="22"/>
        </w:rPr>
        <w:t>Aux dividendes distribués aux actionnaires des sociétés immobilières pour le commerce et l’industrie visés au dixième alinéa du 3° quater de l’article 208 et prélèves sur les bénéfices exonérés visés au neuvième alinéa du 3° quater du même article ;</w:t>
      </w:r>
    </w:p>
    <w:p>
      <w:pPr>
        <w:spacing w:before="0" w:after="180" w:line="264" w:lineRule="auto"/>
        <w:ind w:firstLine="340"/>
        <w:jc w:val="both"/>
      </w:pPr>
      <w:r>
        <w:rPr>
          <w:rFonts w:ascii="Cambria" w:hAnsi="Cambria"/>
          <w:b w:val="0"/>
          <w:i w:val="0"/>
          <w:color w:val="141A21"/>
          <w:sz w:val="22"/>
        </w:rPr>
        <w:t>Aux dividendes distribués aux actionnaires des sociétés agréées pour le financement des télécommunications visées à l’article 1er de la loi n° 69-1160 du 24 décembre 1969 et des sociétés qui redistribuent les dividendes d’une société immobilière pour le commerce et l’industrie en application du huitième alinéa du 3° quinquies de l’article 208 ;</w:t>
      </w:r>
    </w:p>
    <w:p>
      <w:pPr>
        <w:spacing w:before="0" w:after="180" w:line="264" w:lineRule="auto"/>
        <w:ind w:firstLine="340"/>
        <w:jc w:val="both"/>
      </w:pPr>
      <w:r>
        <w:rPr>
          <w:rFonts w:ascii="Cambria" w:hAnsi="Cambria"/>
          <w:b w:val="0"/>
          <w:i w:val="0"/>
          <w:color w:val="141A21"/>
          <w:sz w:val="22"/>
        </w:rPr>
        <w:t>Aux produits et plus values nets distribués par les sociétés de capital-risque exonérés en application du 3° septies de l’article 208 ;</w:t>
      </w:r>
    </w:p>
    <w:p>
      <w:pPr>
        <w:spacing w:before="0" w:after="180" w:line="264" w:lineRule="auto"/>
        <w:ind w:firstLine="340"/>
        <w:jc w:val="both"/>
      </w:pPr>
      <w:r>
        <w:rPr>
          <w:rFonts w:ascii="Cambria" w:hAnsi="Cambria"/>
          <w:b w:val="0"/>
          <w:i w:val="0"/>
          <w:color w:val="141A21"/>
          <w:sz w:val="22"/>
        </w:rPr>
        <w:t>Aux bénéfiques distribués aux actionnaires des sociétés d’investissements immobiliers cotées et de leur filiales visées à l’article 208 C et prélevés sur les bénéfices exonères en application du premier alinéa du II de cet article</w:t>
      </w:r>
    </w:p>
    <w:p>
      <w:pPr>
        <w:spacing w:before="0" w:after="180" w:line="264" w:lineRule="auto"/>
        <w:ind w:firstLine="340"/>
        <w:jc w:val="both"/>
      </w:pPr>
      <w:r>
        <w:rPr>
          <w:rFonts w:ascii="Cambria" w:hAnsi="Cambria"/>
          <w:b w:val="0"/>
          <w:i w:val="0"/>
          <w:color w:val="141A21"/>
          <w:sz w:val="22"/>
        </w:rPr>
        <w:t>L’article 216 du code général des impôts précisé :</w:t>
      </w:r>
    </w:p>
    <w:p>
      <w:pPr>
        <w:spacing w:before="200" w:after="240" w:line="288" w:lineRule="auto"/>
        <w:ind w:left="397"/>
        <w:jc w:val="both"/>
        <w:pBdr>
          <w:left w:val="single" w:sz="18" w:space="10" w:color="b08d3e"/>
        </w:pBdr>
      </w:pPr>
      <w:r>
        <w:rPr>
          <w:rFonts w:ascii="Cambria" w:hAnsi="Cambria"/>
          <w:b w:val="0"/>
          <w:i/>
          <w:color w:val="3C3A34"/>
          <w:sz w:val="21"/>
        </w:rPr>
        <w:t>« Les produits nets des participations, ouvrant droit à l’application du régime des sociétés mères et visés s à l’article 145, touchés au cours d’un exercice par une société mère, peuvent être retranchés du bénéfique net total de celle-ci, défalcation faite d’une quote-part de frais et charges. La quote-part de frais et charges visée au premier alinéa est fixées uniformément à 5% du produit total des participations, crédit d’impôt compris. Cette quote-part ne peut toutefois excéder, pour chaque période d’imposition, le montant total des frais et charges de toute nature exposés par la société participante au cours de la même période ».</w:t>
      </w:r>
    </w:p>
    <w:p>
      <w:r>
        <w:br w:type="page"/>
      </w:r>
    </w:p>
    <w:p>
      <w:pPr>
        <w:pStyle w:val="Heading2"/>
        <w:spacing w:before="240" w:after="200" w:line="276" w:lineRule="auto"/>
      </w:pPr>
      <w:r>
        <w:rPr>
          <w:rFonts w:ascii="Calibri" w:hAnsi="Calibri"/>
          <w:b/>
          <w:i w:val="0"/>
          <w:color w:val="8A6D2A"/>
          <w:sz w:val="36"/>
        </w:rPr>
        <w:t>Chapitre 18 — Les différents types de holding</w:t>
      </w:r>
    </w:p>
    <w:p>
      <w:pPr>
        <w:spacing w:before="0" w:after="180" w:line="264" w:lineRule="auto"/>
        <w:jc w:val="both"/>
      </w:pPr>
      <w:r>
        <w:rPr>
          <w:rFonts w:ascii="Cambria" w:hAnsi="Cambria"/>
          <w:b w:val="0"/>
          <w:i w:val="0"/>
          <w:color w:val="141A21"/>
          <w:sz w:val="22"/>
        </w:rPr>
        <w:t>Holding pour entrepreneur : société d’exploitation / holding / société d'investissement</w:t>
      </w:r>
    </w:p>
    <w:p>
      <w:pPr>
        <w:spacing w:before="0" w:after="180" w:line="264" w:lineRule="auto"/>
        <w:ind w:firstLine="340"/>
        <w:jc w:val="both"/>
      </w:pPr>
      <w:r>
        <w:rPr>
          <w:rFonts w:ascii="Cambria" w:hAnsi="Cambria"/>
          <w:b w:val="0"/>
          <w:i w:val="0"/>
          <w:color w:val="141A21"/>
          <w:sz w:val="22"/>
        </w:rPr>
        <w:t>Holding pour investisseur immobilier : multiplier les sociétés (notamment pour garder un IS faible)</w:t>
      </w:r>
    </w:p>
    <w:p>
      <w:pPr>
        <w:spacing w:before="0" w:after="180" w:line="264" w:lineRule="auto"/>
        <w:ind w:firstLine="340"/>
        <w:jc w:val="both"/>
      </w:pPr>
      <w:r>
        <w:rPr>
          <w:rFonts w:ascii="Cambria" w:hAnsi="Cambria"/>
          <w:b w:val="0"/>
          <w:i w:val="0"/>
          <w:color w:val="141A21"/>
          <w:sz w:val="22"/>
        </w:rPr>
        <w:t>La holding avec pour invstir "seul" SASU qui détient SCI</w:t>
      </w:r>
    </w:p>
    <w:p>
      <w:pPr>
        <w:spacing w:before="0" w:after="180" w:line="264" w:lineRule="auto"/>
        <w:ind w:firstLine="340"/>
        <w:jc w:val="both"/>
      </w:pPr>
      <w:r>
        <w:rPr>
          <w:rFonts w:ascii="Cambria" w:hAnsi="Cambria"/>
          <w:b w:val="0"/>
          <w:i w:val="0"/>
          <w:color w:val="141A21"/>
          <w:sz w:val="22"/>
        </w:rPr>
        <w:t>Cet outil qu’est le holding est parfois utilisé tout azimut par des entrepreneurs mais pas toujours à bon escient.</w:t>
      </w:r>
    </w:p>
    <w:p>
      <w:pPr>
        <w:spacing w:before="0" w:after="180" w:line="264" w:lineRule="auto"/>
        <w:ind w:firstLine="340"/>
        <w:jc w:val="both"/>
      </w:pPr>
      <w:r>
        <w:rPr>
          <w:rFonts w:ascii="Cambria" w:hAnsi="Cambria"/>
          <w:b w:val="0"/>
          <w:i w:val="0"/>
          <w:color w:val="141A21"/>
          <w:sz w:val="22"/>
        </w:rPr>
        <w:t>J’ai déjà constaté à plusieurs reprises dans des séminaires a vocations immobilière ou des forums sur internet, des personnes qui « fustigent » dans leurs propos et encensent l’utilisation de la société holding qui détiendrait plusieurs sociétés immobilières de type SCI. D’un point de vue juridique je ne trouve rien à redire mais parfois la vocation de ce montage est de bénéficier par chaque SCI du taux réduit d’IS à 15%.</w:t>
      </w:r>
    </w:p>
    <w:p>
      <w:pPr>
        <w:spacing w:before="0" w:after="180" w:line="264" w:lineRule="auto"/>
        <w:ind w:firstLine="340"/>
        <w:jc w:val="both"/>
      </w:pPr>
      <w:r>
        <w:rPr>
          <w:rFonts w:ascii="Cambria" w:hAnsi="Cambria"/>
          <w:b w:val="0"/>
          <w:i w:val="0"/>
          <w:color w:val="141A21"/>
          <w:sz w:val="22"/>
        </w:rPr>
        <w:t>En effet prenons un exemple :</w:t>
      </w:r>
    </w:p>
    <w:p>
      <w:pPr>
        <w:spacing w:before="0" w:after="180" w:line="264" w:lineRule="auto"/>
        <w:ind w:firstLine="340"/>
        <w:jc w:val="both"/>
      </w:pPr>
      <w:r>
        <w:rPr>
          <w:rFonts w:ascii="Cambria" w:hAnsi="Cambria"/>
          <w:b w:val="0"/>
          <w:i w:val="0"/>
          <w:color w:val="141A21"/>
          <w:sz w:val="22"/>
        </w:rPr>
        <w:t>Vous possédez 3 biens immobiliers :</w:t>
      </w:r>
    </w:p>
    <w:p>
      <w:pPr>
        <w:spacing w:before="0" w:after="180" w:line="264" w:lineRule="auto"/>
        <w:ind w:firstLine="340"/>
        <w:jc w:val="both"/>
      </w:pPr>
      <w:r>
        <w:rPr>
          <w:rFonts w:ascii="Cambria" w:hAnsi="Cambria"/>
          <w:b w:val="0"/>
          <w:i w:val="0"/>
          <w:color w:val="141A21"/>
          <w:sz w:val="22"/>
        </w:rPr>
        <w:t>Le 1er dégage 30.000€ de résultat imposable ;</w:t>
      </w:r>
    </w:p>
    <w:p>
      <w:pPr>
        <w:spacing w:before="0" w:after="180" w:line="264" w:lineRule="auto"/>
        <w:ind w:firstLine="340"/>
        <w:jc w:val="both"/>
      </w:pPr>
      <w:r>
        <w:rPr>
          <w:rFonts w:ascii="Cambria" w:hAnsi="Cambria"/>
          <w:b w:val="0"/>
          <w:i w:val="0"/>
          <w:color w:val="141A21"/>
          <w:sz w:val="22"/>
        </w:rPr>
        <w:t>Le 2ème dégage 20.000€ de résultat imposable ;</w:t>
      </w:r>
    </w:p>
    <w:p>
      <w:pPr>
        <w:spacing w:before="0" w:after="180" w:line="264" w:lineRule="auto"/>
        <w:ind w:firstLine="340"/>
        <w:jc w:val="both"/>
      </w:pPr>
      <w:r>
        <w:rPr>
          <w:rFonts w:ascii="Cambria" w:hAnsi="Cambria"/>
          <w:b w:val="0"/>
          <w:i w:val="0"/>
          <w:color w:val="141A21"/>
          <w:sz w:val="22"/>
        </w:rPr>
        <w:t>Le 3ème dégage 10.000€ de résultat imposable.</w:t>
      </w:r>
    </w:p>
    <w:p>
      <w:pPr>
        <w:spacing w:before="0" w:after="180" w:line="264" w:lineRule="auto"/>
        <w:ind w:firstLine="340"/>
        <w:jc w:val="both"/>
      </w:pPr>
      <w:r>
        <w:rPr>
          <w:rFonts w:ascii="Cambria" w:hAnsi="Cambria"/>
          <w:b w:val="0"/>
          <w:i w:val="0"/>
          <w:color w:val="141A21"/>
          <w:sz w:val="22"/>
        </w:rPr>
        <w:t>Si ces 3 biens sont acquis par une même foncière, le résultat imposable sera donc de 60.000€, l’IS a 15% sera appliqué sur les 38.120€ de résultat et les 21.880€ de résultat suivants seront imposé à 28% soit un impôt dû de 11.844,40€.</w:t>
      </w:r>
    </w:p>
    <w:p>
      <w:pPr>
        <w:spacing w:before="0" w:after="180" w:line="264" w:lineRule="auto"/>
        <w:ind w:firstLine="340"/>
        <w:jc w:val="both"/>
      </w:pPr>
      <w:r>
        <w:rPr>
          <w:rFonts w:ascii="Cambria" w:hAnsi="Cambria"/>
          <w:b w:val="0"/>
          <w:i w:val="0"/>
          <w:color w:val="141A21"/>
          <w:sz w:val="22"/>
        </w:rPr>
        <w:t>Si par contre chaque biens est logé dans une SCI l’IS sera calculé sur chaque base au taux de 15% soit pour :</w:t>
      </w:r>
    </w:p>
    <w:p>
      <w:pPr>
        <w:spacing w:before="0" w:after="180" w:line="264" w:lineRule="auto"/>
        <w:ind w:firstLine="340"/>
        <w:jc w:val="both"/>
      </w:pPr>
      <w:r>
        <w:rPr>
          <w:rFonts w:ascii="Cambria" w:hAnsi="Cambria"/>
          <w:b w:val="0"/>
          <w:i w:val="0"/>
          <w:color w:val="141A21"/>
          <w:sz w:val="22"/>
        </w:rPr>
        <w:t>SCI 1 = 4.500€</w:t>
      </w:r>
    </w:p>
    <w:p>
      <w:pPr>
        <w:spacing w:before="0" w:after="180" w:line="264" w:lineRule="auto"/>
        <w:ind w:firstLine="340"/>
        <w:jc w:val="both"/>
      </w:pPr>
      <w:r>
        <w:rPr>
          <w:rFonts w:ascii="Cambria" w:hAnsi="Cambria"/>
          <w:b w:val="0"/>
          <w:i w:val="0"/>
          <w:color w:val="141A21"/>
          <w:sz w:val="22"/>
        </w:rPr>
        <w:t>SCI 2 = 3.000€</w:t>
      </w:r>
    </w:p>
    <w:p>
      <w:pPr>
        <w:spacing w:before="0" w:after="180" w:line="264" w:lineRule="auto"/>
        <w:ind w:firstLine="340"/>
        <w:jc w:val="both"/>
      </w:pPr>
      <w:r>
        <w:rPr>
          <w:rFonts w:ascii="Cambria" w:hAnsi="Cambria"/>
          <w:b w:val="0"/>
          <w:i w:val="0"/>
          <w:color w:val="141A21"/>
          <w:sz w:val="22"/>
        </w:rPr>
        <w:t>SCI 3 = 1.500€</w:t>
      </w:r>
    </w:p>
    <w:p>
      <w:pPr>
        <w:spacing w:before="0" w:after="180" w:line="264" w:lineRule="auto"/>
        <w:ind w:firstLine="340"/>
        <w:jc w:val="both"/>
      </w:pPr>
      <w:r>
        <w:rPr>
          <w:rFonts w:ascii="Cambria" w:hAnsi="Cambria"/>
          <w:b w:val="0"/>
          <w:i w:val="0"/>
          <w:color w:val="141A21"/>
          <w:sz w:val="22"/>
        </w:rPr>
        <w:t>Total = 9.000€</w:t>
      </w:r>
    </w:p>
    <w:p>
      <w:pPr>
        <w:spacing w:before="0" w:after="180" w:line="264" w:lineRule="auto"/>
        <w:ind w:firstLine="340"/>
        <w:jc w:val="both"/>
      </w:pPr>
      <w:r>
        <w:rPr>
          <w:rFonts w:ascii="Cambria" w:hAnsi="Cambria"/>
          <w:b w:val="0"/>
          <w:i w:val="0"/>
          <w:color w:val="141A21"/>
          <w:sz w:val="22"/>
        </w:rPr>
        <w:t>Par ma part ce montage est dangereux car il ouvre à l’Administration l’utilisation « de l’abus de droit à l’import ». En fait quand l’Administration constate qu’un montage n’a servi qu’à l’optimisation de l’impôt elle peut remettre en cause le montage et demander le paiement de l’impôt calculé sans le montage juridique et en plus la plupart de temps elle y ajoute des pénalités qui vont de 10% à 80%.</w:t>
      </w:r>
    </w:p>
    <w:p>
      <w:pPr>
        <w:spacing w:before="0" w:after="180" w:line="264" w:lineRule="auto"/>
        <w:ind w:firstLine="340"/>
        <w:jc w:val="both"/>
      </w:pPr>
      <w:r>
        <w:rPr>
          <w:rFonts w:ascii="Cambria" w:hAnsi="Cambria"/>
          <w:b w:val="0"/>
          <w:i w:val="0"/>
          <w:color w:val="141A21"/>
          <w:sz w:val="22"/>
        </w:rPr>
        <w:t>Je préfère la simplicité, même si la plupart de mes collaborateurs m’indiquent régulièrement qu’ils n’aimeraient pas vivré dans mon cerveau car ca bouge tout le temps.</w:t>
      </w:r>
    </w:p>
    <w:p>
      <w:pPr>
        <w:spacing w:before="0" w:after="180" w:line="264" w:lineRule="auto"/>
        <w:ind w:firstLine="340"/>
        <w:jc w:val="both"/>
      </w:pPr>
      <w:r>
        <w:rPr>
          <w:rFonts w:ascii="Cambria" w:hAnsi="Cambria"/>
          <w:b w:val="0"/>
          <w:i w:val="0"/>
          <w:color w:val="141A21"/>
          <w:sz w:val="22"/>
        </w:rPr>
        <w:t>J’ai crée plusieurs SCI dans ma vie d’investisseur mais dernièrement j’ai « fusionné » l’ensemble des sociétés pour avoir une « grosse foncière », c’est plus simple à gérer et en plus les banquiers préfèrent car la garantie de l’actif est plus importante.</w:t>
      </w:r>
    </w:p>
    <w:p>
      <w:pPr>
        <w:spacing w:before="0" w:after="180" w:line="264" w:lineRule="auto"/>
        <w:ind w:firstLine="340"/>
        <w:jc w:val="both"/>
      </w:pPr>
      <w:r>
        <w:rPr>
          <w:rFonts w:ascii="Cambria" w:hAnsi="Cambria"/>
          <w:b w:val="0"/>
          <w:i w:val="0"/>
          <w:color w:val="141A21"/>
          <w:sz w:val="22"/>
        </w:rPr>
        <w:t>Par contre le statut juridique de la foncière peut imposer des montages « bizarres ». Comme nous l’avons vu précédemment certaines formes de sociétés ne peuvent être constituées sans avoir plusieurs associés. Si vous avez comme préconisé plus haut, intégré que votre vaisseau amiral d’investissement est votre holding familial, vous ne pouvez pas constituer de SCI avec que votre holding en associé. De ce fait vous devez constituer votre SCI, détenue par votre holding et vous même, et de ce fait vous serez bien deux associés. La question la plus importante qui se pose encore est : quelle est la répartition du capital entre associés ?</w:t>
      </w:r>
    </w:p>
    <w:p>
      <w:pPr>
        <w:spacing w:before="0" w:after="180" w:line="264" w:lineRule="auto"/>
        <w:ind w:firstLine="340"/>
        <w:jc w:val="both"/>
      </w:pPr>
      <w:r>
        <w:rPr>
          <w:rFonts w:ascii="Cambria" w:hAnsi="Cambria"/>
          <w:b w:val="0"/>
          <w:i w:val="0"/>
          <w:color w:val="141A21"/>
          <w:sz w:val="22"/>
        </w:rPr>
        <w:t>Et la je vois aussi toute sorte de réponses sur le net. Certains préconisent que le holding ne détiennent que 5% et la personne physique 95% afin que le holding puise « alimenter » en pognon la SCI afin d’investir mais n’en tirera que 5% des bénéfices. Bien sur ca se tient juridiquement parlant. Mais je ne sais pas si c’est mes 25 ans à défendre mes clients lors de contrôles fiscaux qui fait que j’ai le doute sur ce montage d’un point de vue fiscal.</w:t>
      </w:r>
    </w:p>
    <w:p>
      <w:pPr>
        <w:spacing w:before="0" w:after="180" w:line="264" w:lineRule="auto"/>
        <w:ind w:firstLine="340"/>
        <w:jc w:val="both"/>
      </w:pPr>
      <w:r>
        <w:rPr>
          <w:rFonts w:ascii="Cambria" w:hAnsi="Cambria"/>
          <w:b w:val="0"/>
          <w:i w:val="0"/>
          <w:color w:val="141A21"/>
          <w:sz w:val="22"/>
        </w:rPr>
        <w:t>Pour ma part j’ai bien les choses simples. Comme je l’évoquais la société holding a pour vocation a être un HUB, comme dans les aéroports, pour permettre aux flux de circuler entres les différentes sociétés et au bout dieu compte de construire une entité économique unique représentant les nombreux efforts de travaille et les risque pris chaque jours par les ENTREPRENEURS.</w:t>
      </w:r>
    </w:p>
    <w:p>
      <w:pPr>
        <w:spacing w:before="0" w:after="180" w:line="264" w:lineRule="auto"/>
        <w:ind w:firstLine="340"/>
        <w:jc w:val="both"/>
      </w:pPr>
      <w:r>
        <w:rPr>
          <w:rFonts w:ascii="Cambria" w:hAnsi="Cambria"/>
          <w:b w:val="0"/>
          <w:i w:val="0"/>
          <w:color w:val="141A21"/>
          <w:sz w:val="22"/>
        </w:rPr>
        <w:t>Le holding doit être majoritaire dans ces filiales pour pouvoir faire fonctionner au mieux le système.</w:t>
      </w:r>
    </w:p>
    <w:p>
      <w:pPr>
        <w:spacing w:before="0" w:after="180" w:line="264" w:lineRule="auto"/>
        <w:ind w:firstLine="340"/>
        <w:jc w:val="both"/>
      </w:pPr>
      <w:r>
        <w:rPr>
          <w:rFonts w:ascii="Cambria" w:hAnsi="Cambria"/>
          <w:b w:val="0"/>
          <w:i w:val="0"/>
          <w:color w:val="141A21"/>
          <w:sz w:val="22"/>
        </w:rPr>
        <w:t>Une entité lancée et générant du résultat, va payer son impôt normalement et lorsqu’elle distribuera ses résultats à ses associés la société holding bénéficiera majoritairement de ce flux de trésorerie qui permettra de financer d’autres projets dans d’autres filiales.</w:t>
      </w:r>
    </w:p>
    <w:p>
      <w:pPr>
        <w:spacing w:before="0" w:after="180" w:line="264" w:lineRule="auto"/>
        <w:ind w:firstLine="340"/>
        <w:jc w:val="both"/>
      </w:pPr>
      <w:r>
        <w:rPr>
          <w:rFonts w:ascii="Cambria" w:hAnsi="Cambria"/>
          <w:b w:val="0"/>
          <w:i w:val="0"/>
          <w:color w:val="141A21"/>
          <w:sz w:val="22"/>
        </w:rPr>
        <w:t>Je propose à mes clients qu’ils récupèrent leur revenu de leur holding. 2 politiques s’ouvrent à vous. Soit vous avez choisi le régime des salariés ou celui des travailleurs non salariés. Vous vous souvenez que la forme juridique que vous aurez choisie pour les structures va imposer pour certaines le statut social de son dirigeant. J’ai des nombreuses discussions avec des juristes sur ce choix social mais pour ma part ma analyse est simple. J’utilise le statut des salariés pour ma part et souvent je le trouve le plus adapté. Bien sur il coute souvent plus cher mais il confère une sécurité sociale plus avantageuse et une retraite, même si de plus en plus les jeunes chefs d’entreprise n’y crient plus.</w:t>
      </w:r>
    </w:p>
    <w:p>
      <w:pPr>
        <w:spacing w:before="0" w:after="180" w:line="264" w:lineRule="auto"/>
        <w:ind w:firstLine="340"/>
        <w:jc w:val="both"/>
      </w:pPr>
      <w:r>
        <w:rPr>
          <w:rFonts w:ascii="Cambria" w:hAnsi="Cambria"/>
          <w:b w:val="0"/>
          <w:i w:val="0"/>
          <w:color w:val="141A21"/>
          <w:sz w:val="22"/>
        </w:rPr>
        <w:t>Il m’arrive de conseiller le statut non salarié lorsque le conjoint est salarié et bénéficie de bonnes conditions de protection sociale comme la mutuelle qui couvre le contint et les enfants. Tant que le conjoint bénéficié de cette couverture il serait dommage de « cotiser » aussi presqu’en double car on n’est pas 2 fois plus malade et souvent les ENTREPRENEURS sont moins malades que les autres catégories d’actifs.</w:t>
      </w:r>
    </w:p>
    <w:p>
      <w:pPr>
        <w:spacing w:before="0" w:after="180" w:line="264" w:lineRule="auto"/>
        <w:ind w:firstLine="340"/>
        <w:jc w:val="both"/>
      </w:pPr>
      <w:r>
        <w:rPr>
          <w:rFonts w:ascii="Cambria" w:hAnsi="Cambria"/>
          <w:b w:val="0"/>
          <w:i w:val="0"/>
          <w:color w:val="141A21"/>
          <w:sz w:val="22"/>
        </w:rPr>
        <w:t>Partant de ce constat, les chefs d’entreprise sont donc salariés de leur holding. Et quel est le salaire qu’ils prennent ? Pour ma part je leur propose de réfléchir à ce que j’appelle le « salaire alimentaire » c'est-à-dire celui qui va assouvir les besoins primaires qui sont se nourrir, se loger et se vêtir. L’idée de ce salaire alimentaire est de faire prendre conscience aux dirigeants que souvent avec leur salaire ils en utilisent une partie pour investir dans l’immobilier. Avec le triangle magique, c’est le holding qui va investir dans la foncière et développer le patrimoine immobilier, il n’a donc plus besoin de récupérer beaucoup de revenus en nom propre qui seront fiscalisés à l’IR et aux cotisations sociales. De ce fait le holding bénéficiera de plus de trésorerie et pourra développer encore plus de projets économiques.</w:t>
      </w:r>
    </w:p>
    <w:p>
      <w:r>
        <w:br w:type="page"/>
      </w:r>
    </w:p>
    <w:p>
      <w:pPr>
        <w:pStyle w:val="Heading2"/>
        <w:spacing w:before="240" w:after="200" w:line="276" w:lineRule="auto"/>
      </w:pPr>
      <w:r>
        <w:rPr>
          <w:rFonts w:ascii="Calibri" w:hAnsi="Calibri"/>
          <w:b/>
          <w:i w:val="0"/>
          <w:color w:val="8A6D2A"/>
          <w:sz w:val="36"/>
        </w:rPr>
        <w:t>Chapitre 19 — Le commissaire aux comptes</w:t>
      </w:r>
    </w:p>
    <w:p>
      <w:pPr>
        <w:spacing w:before="0" w:after="180" w:line="264" w:lineRule="auto"/>
        <w:jc w:val="both"/>
      </w:pPr>
      <w:r>
        <w:rPr>
          <w:rFonts w:ascii="Cambria" w:hAnsi="Cambria"/>
          <w:b w:val="0"/>
          <w:i w:val="0"/>
          <w:color w:val="141A21"/>
          <w:sz w:val="22"/>
        </w:rPr>
        <w:t>Le commissaire aux comptes est une personne importante dans la vie des sociétés qui en ont l’obligation de nomination. Depuis la loi PACTE d’octobre 2018 et les différents décrets d’application publiés jusqu’en mars 2019, l’obligation de nomination des commissoires aux comptes dans les sociétés par actions à largement diminuer. Seules les structures réalisant 2 des 3 critères suivants ont l’obligation de nommer un commissaire aux comptes :</w:t>
      </w:r>
    </w:p>
    <w:p>
      <w:pPr>
        <w:spacing w:before="0" w:after="180" w:line="264" w:lineRule="auto"/>
        <w:ind w:firstLine="340"/>
        <w:jc w:val="both"/>
      </w:pPr>
      <w:r>
        <w:rPr>
          <w:rFonts w:ascii="Cambria" w:hAnsi="Cambria"/>
          <w:b w:val="0"/>
          <w:i w:val="0"/>
          <w:color w:val="141A21"/>
          <w:sz w:val="22"/>
        </w:rPr>
        <w:t>Un chiffre d’affaires hors taxes dépassant 8.000.000 € ;</w:t>
      </w:r>
    </w:p>
    <w:p>
      <w:pPr>
        <w:spacing w:before="0" w:after="180" w:line="264" w:lineRule="auto"/>
        <w:ind w:firstLine="340"/>
        <w:jc w:val="both"/>
      </w:pPr>
      <w:r>
        <w:rPr>
          <w:rFonts w:ascii="Cambria" w:hAnsi="Cambria"/>
          <w:b w:val="0"/>
          <w:i w:val="0"/>
          <w:color w:val="141A21"/>
          <w:sz w:val="22"/>
        </w:rPr>
        <w:t>Total de bilan dépassant 4.000.000 € ;</w:t>
      </w:r>
    </w:p>
    <w:p>
      <w:pPr>
        <w:spacing w:before="0" w:after="180" w:line="264" w:lineRule="auto"/>
        <w:ind w:firstLine="340"/>
        <w:jc w:val="both"/>
      </w:pPr>
      <w:r>
        <w:rPr>
          <w:rFonts w:ascii="Cambria" w:hAnsi="Cambria"/>
          <w:b w:val="0"/>
          <w:i w:val="0"/>
          <w:color w:val="141A21"/>
          <w:sz w:val="22"/>
        </w:rPr>
        <w:t>Et ayant 50 salariés en équivalence temps pleins.</w:t>
      </w:r>
    </w:p>
    <w:p>
      <w:pPr>
        <w:spacing w:before="0" w:after="180" w:line="264" w:lineRule="auto"/>
        <w:ind w:firstLine="340"/>
        <w:jc w:val="both"/>
      </w:pPr>
      <w:r>
        <w:rPr>
          <w:rFonts w:ascii="Cambria" w:hAnsi="Cambria"/>
          <w:b w:val="0"/>
          <w:i w:val="0"/>
          <w:color w:val="141A21"/>
          <w:sz w:val="22"/>
        </w:rPr>
        <w:t>Certes certains membres de cette profession, et j’ai pas mal d’amis dans ce cas, sont bien en mal à se restructurer lorsque l’impact de cette loi leur fait perdre pour certains 80% de leur chiffre d’affaires, mais je suis bien obligé de le dire, pour le « triangle magique » et la majorité de ses dirigeants cela a été une aubaine dans la gestion de leur groupe avec une diminution importante du coût annuel.</w:t>
      </w:r>
    </w:p>
    <w:p>
      <w:pPr>
        <w:spacing w:before="0" w:after="180" w:line="264" w:lineRule="auto"/>
        <w:ind w:firstLine="340"/>
        <w:jc w:val="both"/>
      </w:pPr>
      <w:r>
        <w:rPr>
          <w:rFonts w:ascii="Cambria" w:hAnsi="Cambria"/>
          <w:b w:val="0"/>
          <w:i w:val="0"/>
          <w:color w:val="141A21"/>
          <w:sz w:val="22"/>
        </w:rPr>
        <w:t>Le code de commerce dans son article L. 823-9 dispose que :</w:t>
      </w:r>
    </w:p>
    <w:p>
      <w:pPr>
        <w:spacing w:before="200" w:after="240" w:line="288" w:lineRule="auto"/>
        <w:ind w:left="397"/>
        <w:jc w:val="both"/>
        <w:pBdr>
          <w:left w:val="single" w:sz="18" w:space="10" w:color="b08d3e"/>
        </w:pBdr>
      </w:pPr>
      <w:r>
        <w:rPr>
          <w:rFonts w:ascii="Cambria" w:hAnsi="Cambria"/>
          <w:b w:val="0"/>
          <w:i/>
          <w:color w:val="3C3A34"/>
          <w:sz w:val="21"/>
        </w:rPr>
        <w:t>« Les commissaires aux comptes certifient, en justifiant de leurs appréciations, que les comptes annuels sont réguliers et sincères et donnent une image fidele du résultat des opérations de l’exercice écoulé ainsi que de la situation financière et du patrimoine de la personne ou de l’entité à la fin de cet exercice. Lorsqu’une personne ou une entité établit des comptes consolidés, les commissaires aux comptes certifient en justifiant de leurs appréciations, que les comptes consolidés sont réguliers et sincères et donnent une image fidele du patrimoine, de la situation financière ainsi que du résultat de l’ensemble constitué par les personnes et entités comprises dans la consolidation. Sans préjudice des dispositions de l’article L. 823-14, la certification des comptes consolidés est délivrée notamment âpres examen des travaux des commissaires aux comptes des personnes et entités comprises dans la consolidation ou, s’il n’en est point, des professionnels chargés du contrôle des comptes desdites personnes et entités ». Le code de commerce dans son article L. 823-10 dispose que : « Les commissaires aux comptes ont pour mission permanente, à l’exclusion de toute immixtion dans la gestion, de vérifier les valeurs et les documents comptables de la personne ou de l’entité dont ils sont chargés de certifier les comptes et de contrôler la conformité de sa comptabilité aux règles en vigueur. Ils versifient également la sincérité et la concordance avec les comptes annuels des informations données dans le rapport de gestion du conseil d’administration, du directoire ou de tout organe de direction, et dans les documents adressés aux actionnaires ou associes sur la situation financière et les comptes nues. Ils attestent spécialement l’exactitude et la sincérité des informations relatives aux rémunérations et aux avantages de toute nature versés à chaque mandataire social. Ils vérifient, le cas échéant, la sincérité et la concordance avec les comptes consolidés des informations données dans le rapport sur la gestion du groupe ». Le code de commerce dans son article L. 823-11 dispose que : « Les commissaires aux comptes s’assurent que l’égalité a été respectée entre les actionnaires, associés ou membres de l’organe compétent ». Le code de commerce dans son article L. 823-12 dispose que : « Les commissaires aux comptes signalent à la plus prochaine assemblée générale ou réunion de l’organe compétent les irrégularités et inexactitudes relevées par eux au cours de l’accomplissement de leur mission. Ils révèlent au procureur de la République les faits délictueux dont ils ont eu connaissance, sans que leur responsabilité puisse être engagée par cette révélation. Sans préjudice de l’obligation de révélation des faits délictueux mentionnée à l’alinéa précédent, ils mettent en œuvre les obligations relatives à la lutte contre le blanchiment des capitaux et le financement du terrorisme définis au chapitre I du titre VI du livre V du Code monétaire et financier ». Même si nous n’avons plus vraiement besoin du commissaire aux comptes pour sa mission principale, nous pouvons l’utiliser dans d’autres cas très intéressant. Le commissaire aux comptes peut également devenir « le commissaire aux apports, le commissaire à la transformation et le commissaire à la fusion ». Dans ces 3 cas il s’agit toujours d’un commissaire aux comptes titulaire et inscrit près de la cour d’appel d’une juridiction mais ses missions sont différentes. Qu’il soit « à la fusion » ou « aux apports » il va garantir auprès des tiers la valorisation d’une opération juridique. Prenons quelques exemples :</w:t>
      </w:r>
    </w:p>
    <w:p>
      <w:pPr>
        <w:pStyle w:val="Heading3"/>
        <w:spacing w:before="400" w:after="100" w:line="276" w:lineRule="auto"/>
      </w:pPr>
      <w:r>
        <w:rPr>
          <w:rFonts w:ascii="Calibri" w:hAnsi="Calibri"/>
          <w:b/>
          <w:i w:val="0"/>
          <w:color w:val="141A21"/>
          <w:sz w:val="27"/>
        </w:rPr>
        <w:t>Le commissaire aux apports</w:t>
      </w:r>
    </w:p>
    <w:p>
      <w:pPr>
        <w:spacing w:before="0" w:after="180" w:line="264" w:lineRule="auto"/>
        <w:jc w:val="both"/>
      </w:pPr>
      <w:r>
        <w:rPr>
          <w:rFonts w:ascii="Cambria" w:hAnsi="Cambria"/>
          <w:b w:val="0"/>
          <w:i w:val="0"/>
          <w:color w:val="141A21"/>
          <w:sz w:val="22"/>
        </w:rPr>
        <w:t>Commissaire aux apports</w:t>
      </w:r>
    </w:p>
    <w:p>
      <w:pPr>
        <w:spacing w:before="0" w:after="180" w:line="264" w:lineRule="auto"/>
        <w:ind w:firstLine="340"/>
        <w:jc w:val="both"/>
      </w:pPr>
      <w:r>
        <w:rPr>
          <w:rFonts w:ascii="Cambria" w:hAnsi="Cambria"/>
          <w:b w:val="0"/>
          <w:i w:val="0"/>
          <w:color w:val="141A21"/>
          <w:sz w:val="22"/>
        </w:rPr>
        <w:t>J’ai été amené à faire intervenir ce CAC dans deux cas le plus souvent. Soit lors de la constitution d’une société holding qui reprenait des titres de sociétés existantes et pour lesquels il fallait valider l’augmentation de capital du holding soit lorsque mon client exerçait une activité en nom propre et que nous avions décidé de constituer une société d’exploitation soumise à l’IS. Dans ces 2 cas l’intervention du commissaire aux apports était indispensable.</w:t>
      </w:r>
    </w:p>
    <w:p>
      <w:pPr>
        <w:spacing w:before="0" w:after="180" w:line="264" w:lineRule="auto"/>
        <w:ind w:firstLine="340"/>
        <w:jc w:val="both"/>
      </w:pPr>
      <w:r>
        <w:rPr>
          <w:rFonts w:ascii="Cambria" w:hAnsi="Cambria"/>
          <w:b w:val="0"/>
          <w:i w:val="0"/>
          <w:color w:val="141A21"/>
          <w:sz w:val="22"/>
        </w:rPr>
        <w:t>La jurisprudence définie la mission du commissaire aux apports comme moins à juger du bien-fondé de l’octroi d’avantages, lesquels procèdent du consentement des associés exprimé dans le pacte social, qu’à en apprécier la consistance et les incidences éventuelles sur la situation des actionnaires, notamment si de tels avantages confèrent à certains d’entre eux un droit préférentiel sur les bénéfices et le boni de liquidation.</w:t>
      </w:r>
    </w:p>
    <w:p>
      <w:pPr>
        <w:spacing w:before="0" w:after="180" w:line="264" w:lineRule="auto"/>
        <w:ind w:firstLine="340"/>
        <w:jc w:val="both"/>
      </w:pPr>
      <w:r>
        <w:rPr>
          <w:rFonts w:ascii="Cambria" w:hAnsi="Cambria"/>
          <w:b w:val="0"/>
          <w:i w:val="0"/>
          <w:color w:val="141A21"/>
          <w:sz w:val="22"/>
        </w:rPr>
        <w:t>Le code de commerce dans son article L. 223-9 dispose pour les SARL que :</w:t>
      </w:r>
    </w:p>
    <w:p>
      <w:pPr>
        <w:spacing w:before="200" w:after="240" w:line="288" w:lineRule="auto"/>
        <w:ind w:left="397"/>
        <w:jc w:val="both"/>
        <w:pBdr>
          <w:left w:val="single" w:sz="18" w:space="10" w:color="b08d3e"/>
        </w:pBdr>
      </w:pPr>
      <w:r>
        <w:rPr>
          <w:rFonts w:ascii="Cambria" w:hAnsi="Cambria"/>
          <w:b w:val="0"/>
          <w:i/>
          <w:color w:val="3C3A34"/>
          <w:sz w:val="21"/>
        </w:rPr>
        <w:t>« Les statuts doivent contenir l’évaluation de chaque apport en nature. Il y est procédé au vu d’un rapport annexé aux statuts et établi sous sa responsabilité par un commissaire aux apports désigné à l’unanimité des futurs associés ou à défaut par une décision de justice à la demande du futur associé le plus diligent. Toutefois, les futurs associés peuvent décider à l’unanimité que le recours à un commissaire aux apports ne sera pas obligatoire, lorsque la valeur d’aucun apport en nature n’excède un montant fixé par décret et si la valeur totale de l’ensemble des apports en nature non soumis à l’évaluation d’un commissaire aux apports n’excède pas la moitié du capital. Lorsque la société est constituée par une seule personne, le commissaire aux apports est désigné par l’associé unique. Toutefois le recours à un commissaire aux apports n’est pas obligatoire si les conditions preuves à l’alinéa précédent sont réunies. Lorsqu’il n’y a pas eu de commissaire aux apports ou lorsque la valeur retenue est différente de celle proposée par le commissaire aux apports, les associés sont solidairement responsables pendant cinq ans, à l’égard des tiers, de la valeur attribuée aux apports en nature lors de la constitution de la société ». Le code de commerce dans son article L. 225-8 disope pour les SA que : « en cas d’apports en nature comme au cas de stipulation d’avantages particuliers au profit de personnes associées ou non, un ou plusieurs commissaires aux apports sont désignés à l’unanimité des fondateurs ou, a défaut, par décision de justice, à la demande des fondateurs ou de l’un d’entres eux. Ils sont soumis aux incompatibilités prévues à l’article L. 822-11. Les commissaires apprécient, sous leur responsabilité, la valeur des apports en nature et les avantages particuliers. Le rapport déposé au greffe, avec le projet de statuts, est tenu à la disposition des souscripteurs, dans les conditions determinées par decret en Consil d’ Etat. L’assemblée générale constitutive statue sur l’évaluation des apports en nature et l’octroi d’avantages particuliers. Elle ne peut les réduire qu’à l’unannilité de tous les souscripteurs. A défaut d’approbation expresse des apporteurs et des bénéficiaires d’avantages particuliers, mentionnée au procès-verbal, la société n’est pas constituée ». Le code de commerce dans son article L. 225-8-1 dispose pour les SA que : « I- L’article L. 225-+ n’est pas applicable, sur décision des fondateurs, lorsque l’apport en nature est constitué : De valeurs mobilières donnant accès au capital mentionnées à l’article L. 228-1 ou d’instruments du marché monétaire, au sens de l’article 4 de la directive 2004/39/CE du Parlement européen et du Conseil du 21 avril 2004 concernant les marchés d’instruments financiers, modifiant les directives 85/611/ CEE et 93/6/CEE du Conseil et la directive 2000/12/CE du Parlement européen et du Conseil et abrogeant la directive 93/22/CE du Conseil, s’ils ont été évalués au prix moyen pondéré auquel ils ont été négociés sur un ou plusieurs marchés réglementés au cours des trois mois précédent la date de la réalisation effective de l’apport ; D’éléments d’actif autres que les valeurs mobilières ou les instruments du marché monétaire mentionnés au 1° si, dans les six mois précédant la date de la réalisation effective de l’apport, ces éléments ont déjà fait l’objet d’une évaluation à la juste valeur par un commissaire aux apports dans les conditions définies à l’article L. 225-8. II- L’apport en nature fait l’objet d’une réévaluation dans les conditions mentionnées à l’article L. 225-8, à l’initiative et sous la responsabilité des fondateurs, lorsque : Dans le cas prévu au 1° du I du présent article, le prix a été affecté par des circonstances exceptionnelles pouvant modifier sensiblement la valeur de l’élément d’actif à la date de la réalisation effective de l’apport ; Dans le cas prévu au 2° du même I, des circonstances nouvelles ont modifié sensiblement la juste valeur de l’élément d’actif à la date de la réalisation effective de l’apport. III – Les informations relatives aux apports en nature mentionnés aux 1° et 2° du I sont portées à la connaissance des souscripteurs dans des conditions définies par décret en Conseil d’Etat ». Le code de commerce dans son article L. 225-14 dispose pour les SA que : « Les statuts contiennent l’évaluation des apports en nature. Il y est procédé au vu d’un rapport annexé aux statuts et établi, sous sa responsabilité, par un commissaire aux apports. Si des avantages particuliers sont stipulé, la même procédure est suivie ». Cette intervention du commissaire aux apports est primordiale lorsque vous constituez une entité juridique sous forme de société et que vous souhaitez faire reprendre votre activité antérieurement gérée en nom propre pour ne pas perde cette activité. La plupart du temps je constate et souvent pour ne pas assumer le cout du commissaire aux apports, que l’entrepreneur individuel ou le micro-entrepreneur, arrête définitivement son activité en indépendant et relance « la même activité » en société. Cette démarche est dangereuse car l’Administration pourrait assimiler cette opération comme une « vente » d’une activité d’une personne physique à une société et vous demander le paiement de l’imposition à la plus-value. Ce risque n’est pas nécessaire puisque la législation prévoit plusieurs cas de report d’imposition pour les apports. Renseignez vous auprès de votre conseil professionnel. J’insiste auprès de les clients pour qu’ils prennent en compte ce cout dans leur budget de création car commencé la création de son vaisseau amiral afin de constituer son groupe avec un risque fiscal ne laisse pas le cerveau tranquille pour entreprendre sereinement.</w:t>
      </w:r>
    </w:p>
    <w:p>
      <w:pPr>
        <w:pStyle w:val="Heading3"/>
        <w:spacing w:before="400" w:after="100" w:line="276" w:lineRule="auto"/>
      </w:pPr>
      <w:r>
        <w:rPr>
          <w:rFonts w:ascii="Calibri" w:hAnsi="Calibri"/>
          <w:b/>
          <w:i w:val="0"/>
          <w:color w:val="141A21"/>
          <w:sz w:val="27"/>
        </w:rPr>
        <w:t>Le commissaire à la transformation</w:t>
      </w:r>
    </w:p>
    <w:p>
      <w:pPr>
        <w:spacing w:before="0" w:after="180" w:line="264" w:lineRule="auto"/>
        <w:jc w:val="both"/>
      </w:pPr>
      <w:r>
        <w:rPr>
          <w:rFonts w:ascii="Cambria" w:hAnsi="Cambria"/>
          <w:b w:val="0"/>
          <w:i w:val="0"/>
          <w:color w:val="141A21"/>
          <w:sz w:val="22"/>
        </w:rPr>
        <w:t>Commissaire à la transformation</w:t>
      </w:r>
    </w:p>
    <w:p>
      <w:pPr>
        <w:spacing w:before="0" w:after="180" w:line="264" w:lineRule="auto"/>
        <w:ind w:firstLine="340"/>
        <w:jc w:val="both"/>
      </w:pPr>
      <w:r>
        <w:rPr>
          <w:rFonts w:ascii="Cambria" w:hAnsi="Cambria"/>
          <w:b w:val="0"/>
          <w:i w:val="0"/>
          <w:color w:val="141A21"/>
          <w:sz w:val="22"/>
        </w:rPr>
        <w:t>Le code de commerce dans son article L. 224-3 dispose pour les sociétés par actions que :</w:t>
      </w:r>
    </w:p>
    <w:p>
      <w:pPr>
        <w:spacing w:before="200" w:after="240" w:line="288" w:lineRule="auto"/>
        <w:ind w:left="397"/>
        <w:jc w:val="both"/>
        <w:pBdr>
          <w:left w:val="single" w:sz="18" w:space="10" w:color="b08d3e"/>
        </w:pBdr>
      </w:pPr>
      <w:r>
        <w:rPr>
          <w:rFonts w:ascii="Cambria" w:hAnsi="Cambria"/>
          <w:b w:val="0"/>
          <w:i/>
          <w:color w:val="3C3A34"/>
          <w:sz w:val="21"/>
        </w:rPr>
        <w:t>« lorsqu’une société de quelque forme que ce soit qui n’a pas de commissaires aux comptes se transforme en société par actions, un ou plusieurs commissaires à la transformation, chargés d’apprécier sous leur responsabilité la valeur des biens composant l’actif social et les avantages particuliers, sont désignés, sauf accord unanime des associés par décision de justice à la demande des dirigeants sociaux ou de l’un d’eux. Les commissaires à la transformation peuvent être chargés de l’établissement du rapport sur la situation de la société mentionné au troisième alinéa de l’article L. 223-43. Dans ce cas, il n’est rédigé qu’un seul rapport. Ces commissaires sont soumis aux incompatibilités prévues à l’article L 225-224. Le commissaire aux comptes de la société peut être nommé commissaire à la transformation. Le rapport est tenu à la disposition des associés. Les associés statuent sur l’évaluation des biens et l’octroi des avantages particuliers. Ils ne peuvent les réduire qu’à l’unanimité. A défaut d’approbation expresses des associés, mentionnée au procès-verbal, la transformation est nulle ». Alors c’est un cas sympathique également ; vous avez une société sous une certaine forme même civile et vous voulez la « transformer » en une autre forme, c’est là qu’intervient le commissaire à la transformation. J’utilise souvent cette étape lorsque des clients viennent me consulter pour la mise en place du triangle et que l’état des lieux nous montre l’existence d’une SARL de famille à l’IR ou une SCI à l’IR. Comme nous l’avons déjà indiqué je préconise que les sociétés du groupe soient à l’IS et plutôt sous forme de SAS, de ce fait il convient de nommer le commissaire a la transformation et de bien lui exposer notre montage. La plupart du temps je fais également intervenir au tour de table, le notaire avec qui nous fixons les conséquences pour l’immobilier.</w:t>
      </w:r>
    </w:p>
    <w:p>
      <w:pPr>
        <w:pStyle w:val="Heading3"/>
        <w:spacing w:before="400" w:after="100" w:line="276" w:lineRule="auto"/>
      </w:pPr>
      <w:r>
        <w:rPr>
          <w:rFonts w:ascii="Calibri" w:hAnsi="Calibri"/>
          <w:b/>
          <w:i w:val="0"/>
          <w:color w:val="141A21"/>
          <w:sz w:val="27"/>
        </w:rPr>
        <w:t>Quelques exemples de montages en holding</w:t>
      </w:r>
    </w:p>
    <w:p>
      <w:pPr>
        <w:spacing w:before="0" w:after="180" w:line="264" w:lineRule="auto"/>
        <w:jc w:val="both"/>
      </w:pPr>
      <w:r>
        <w:rPr>
          <w:rFonts w:ascii="Cambria" w:hAnsi="Cambria"/>
          <w:b w:val="0"/>
          <w:i w:val="0"/>
          <w:color w:val="141A21"/>
          <w:sz w:val="22"/>
        </w:rPr>
        <w:t>Pour illustrer l’avantage de la société holding j’ai quelques exemples :</w:t>
      </w:r>
    </w:p>
    <w:p>
      <w:pPr>
        <w:spacing w:before="0" w:after="180" w:line="264" w:lineRule="auto"/>
        <w:ind w:firstLine="340"/>
        <w:jc w:val="both"/>
      </w:pPr>
      <w:r>
        <w:rPr>
          <w:rFonts w:ascii="Cambria" w:hAnsi="Cambria"/>
          <w:b w:val="0"/>
          <w:i w:val="0"/>
          <w:color w:val="141A21"/>
          <w:sz w:val="22"/>
        </w:rPr>
        <w:t>1) J’avais un client qui exerçait sous forme de EURL dans l’activité de pose de clôtures. Il travaillait avec ses 2 fils qui avaient commencé en apprentissage chez leur père. La mère établissait la comptabilité et les factures (quel cliché on dirait du ZOLA). Les 2 fils trouvaient qu’ils travaillaient beaucoup et que le père ne les reconnaissait pas dans leur juste travail. Bon en fait cette société familiale était prêté à exploser. Nous nous sommes rencontrés tous autour de la table et nous avons décidé de mettre en place le schéma suivant :</w:t>
      </w:r>
    </w:p>
    <w:p>
      <w:pPr>
        <w:spacing w:before="0" w:after="180" w:line="264" w:lineRule="auto"/>
        <w:ind w:firstLine="340"/>
        <w:jc w:val="both"/>
      </w:pPr>
      <w:r>
        <w:rPr>
          <w:rFonts w:ascii="Cambria" w:hAnsi="Cambria"/>
          <w:b w:val="0"/>
          <w:i w:val="0"/>
          <w:color w:val="141A21"/>
          <w:sz w:val="22"/>
        </w:rPr>
        <w:t>Les 2 fils ont créé une société holding à 50% chacun ;</w:t>
      </w:r>
    </w:p>
    <w:p>
      <w:pPr>
        <w:spacing w:before="0" w:after="180" w:line="264" w:lineRule="auto"/>
        <w:ind w:firstLine="340"/>
        <w:jc w:val="both"/>
      </w:pPr>
      <w:r>
        <w:rPr>
          <w:rFonts w:ascii="Cambria" w:hAnsi="Cambria"/>
          <w:b w:val="0"/>
          <w:i w:val="0"/>
          <w:color w:val="141A21"/>
          <w:sz w:val="22"/>
        </w:rPr>
        <w:t>La société holding a pris une participation minoritaire dans la société EURL du papa qui a été transformé en SARL ;</w:t>
      </w:r>
    </w:p>
    <w:p>
      <w:pPr>
        <w:spacing w:before="0" w:after="180" w:line="264" w:lineRule="auto"/>
        <w:ind w:firstLine="340"/>
        <w:jc w:val="both"/>
      </w:pPr>
      <w:r>
        <w:rPr>
          <w:rFonts w:ascii="Cambria" w:hAnsi="Cambria"/>
          <w:b w:val="0"/>
          <w:i w:val="0"/>
          <w:color w:val="141A21"/>
          <w:sz w:val="22"/>
        </w:rPr>
        <w:t>Les 2 fils débordants d’idées avaient décidé de créer une société de location de matériel de travaux publics. Il fournissait la SARL familiale mais aussi d’autres entreprises ;</w:t>
      </w:r>
    </w:p>
    <w:p>
      <w:pPr>
        <w:spacing w:before="0" w:after="180" w:line="264" w:lineRule="auto"/>
        <w:ind w:firstLine="340"/>
        <w:jc w:val="both"/>
      </w:pPr>
      <w:r>
        <w:rPr>
          <w:rFonts w:ascii="Cambria" w:hAnsi="Cambria"/>
          <w:b w:val="0"/>
          <w:i w:val="0"/>
          <w:color w:val="141A21"/>
          <w:sz w:val="22"/>
        </w:rPr>
        <w:t>Les 2 fils travaillant pour la SARL, la société holding dite « animatrice » facturait des prestations ;</w:t>
      </w:r>
    </w:p>
    <w:p>
      <w:pPr>
        <w:spacing w:before="0" w:after="180" w:line="264" w:lineRule="auto"/>
        <w:ind w:firstLine="340"/>
        <w:jc w:val="both"/>
      </w:pPr>
      <w:r>
        <w:rPr>
          <w:rFonts w:ascii="Cambria" w:hAnsi="Cambria"/>
          <w:b w:val="0"/>
          <w:i w:val="0"/>
          <w:color w:val="141A21"/>
          <w:sz w:val="22"/>
        </w:rPr>
        <w:t>Au fur et à mesure la société holding rachetait des parts de la SARL au papa avec les dividendes qu’elle récupérait ;</w:t>
      </w:r>
    </w:p>
    <w:p>
      <w:pPr>
        <w:spacing w:before="0" w:after="180" w:line="264" w:lineRule="auto"/>
        <w:ind w:firstLine="340"/>
        <w:jc w:val="both"/>
      </w:pPr>
      <w:r>
        <w:rPr>
          <w:rFonts w:ascii="Cambria" w:hAnsi="Cambria"/>
          <w:b w:val="0"/>
          <w:i w:val="0"/>
          <w:color w:val="141A21"/>
          <w:sz w:val="22"/>
        </w:rPr>
        <w:t>Lorsque le papa décida de prendre sa retraite, la société holding acquit l’intégralité des titres restant. La question s’est posée de savoir si nous allions garder une société détenue à 100% par le holding ou si nous allions fusionner les 2 entités pour économiser sur les frais de gestion comptables. Ma position état de maintenir cette structure autonome, et non pas juste pour garder des honoraires comptables, mais pour surtout garder l’objet social de la société holding.</w:t>
      </w:r>
    </w:p>
    <w:p>
      <w:pPr>
        <w:spacing w:before="0" w:after="180" w:line="264" w:lineRule="auto"/>
        <w:ind w:firstLine="340"/>
        <w:jc w:val="both"/>
      </w:pPr>
      <w:r>
        <w:rPr>
          <w:rFonts w:ascii="Cambria" w:hAnsi="Cambria"/>
          <w:b w:val="0"/>
          <w:i w:val="0"/>
          <w:color w:val="141A21"/>
          <w:sz w:val="22"/>
        </w:rPr>
        <w:t>A ce jour, les 2 frères sont toujours à la tête de leur holding, qui détient toujours une participation majoritaire dans leur société d’installation de clôtures (ils ont ouverts le capital à des collaborateurs afin que ces derniers s‘épanouissent également dans l’entreprenariat) ; le holding contrôle toujours la société de matériels et en plus nous avons rajouté une filiale immobilière qui investie dans les bâtiments nécessaires au développement de leur groupe mais également dans des immeubles de rapport avec plusieurs locataires.</w:t>
      </w:r>
    </w:p>
    <w:p>
      <w:pPr>
        <w:spacing w:before="0" w:after="180" w:line="264" w:lineRule="auto"/>
        <w:ind w:firstLine="340"/>
        <w:jc w:val="both"/>
      </w:pPr>
      <w:r>
        <w:rPr>
          <w:rFonts w:ascii="Cambria" w:hAnsi="Cambria"/>
          <w:b w:val="0"/>
          <w:i w:val="0"/>
          <w:color w:val="141A21"/>
          <w:sz w:val="22"/>
        </w:rPr>
        <w:t>2) une personne, que nous appellerons Jean, est venue me voir après une conférence. Elle était propriétaire avec son frère de 50% d’une SCI à l’IS reçu en héritage, qui possédait 2 biens immobiliers. Jean souhaitait aller plus loin dans l’investissement locatif mais son frère était plutôt timoré. Jean souhaitait utiliser les revenus générés en dividendes de cette SCI pour financer via une autre SCI son projet. Son statut d’entrepreneur individuel dans l’informatique lui gênerait des revenus confortables mais il trouvait qu’il payait trop d’impôts Afin d’utiliser au mieux l’avantage des holdings, nous avons constitué le « triangle magique ». Il a donc été constitué une société à vocation de holding. Cette dernière a constitué une SAS foncière détenues à 100%. Une autre filiale sous forme de SAS a également été constituée avec un objet social lié à l’activité informatique. A cet instant et c’était bizarres, nous avions 3 structures qui ne « faisaient rien ». La société holding a été constituée avec un capital en numéraire de 50.000€. L’entreprise individuelle a été évaluée à une somme de 200.000€. La nouvelle société informatique a emprunté une somme de 180.000€ pour racheter le fonds de commerce de l’entreprise informatique et à bénéficiera d’un apport en compte courant de la société mère de 20.000€ et permettre à Jean d’encaisser une somme de 200.000€. Il a été apporté par le holding une somme de 20.000€ qui a permis de constitué le capital social de la nouvelle société d’informatique. Ensuite Jean a apporte à la société holding les titres qu’il détenait dan la SCI avec accord de son frère. A partir de ce moment le holding pouvait encaisser les dividendes de la SCI (avec le frère) et de la société d’informatique. Pour acérer le développement de la nouvelle structure immobilière, Jean impatient et ne voulant pas attendre les dividendes, a effectuer un apport de trésorerie à la société holding afin que cette dernière puisse effectuer un apport en trésoreries à la foncière et se positionner sur l’achat d’immeuble de rapport avec l’effet de leviers de l’emprunt bancaire.</w:t>
      </w:r>
    </w:p>
    <w:p>
      <w:pPr>
        <w:spacing w:before="0" w:after="180" w:line="264" w:lineRule="auto"/>
        <w:ind w:firstLine="340"/>
        <w:jc w:val="both"/>
      </w:pPr>
      <w:r>
        <w:rPr>
          <w:rFonts w:ascii="Cambria" w:hAnsi="Cambria"/>
          <w:b w:val="0"/>
          <w:i w:val="0"/>
          <w:color w:val="141A21"/>
          <w:sz w:val="22"/>
        </w:rPr>
        <w:t>A ce jour, Jean est salarié de son holding. Il touche son salaire alimentaire. Il s’éclate dans sa structuré informatique qui lui permet de générer des dividendes conséquents. Ces revenus remontent dans le holding qui peut réinvestir via sa filiale immobilière dans des projets conséquents avec le partenariat des banques. Son frère s’est un peu débloqué et demande à Jean de l’aider à développera leur SCI fraternelle.</w:t>
      </w:r>
    </w:p>
    <w:p>
      <w:pPr>
        <w:spacing w:before="0" w:after="180" w:line="264" w:lineRule="auto"/>
        <w:ind w:firstLine="340"/>
        <w:jc w:val="both"/>
      </w:pPr>
      <w:r>
        <w:rPr>
          <w:rFonts w:ascii="Cambria" w:hAnsi="Cambria"/>
          <w:b w:val="0"/>
          <w:i w:val="0"/>
          <w:color w:val="141A21"/>
          <w:sz w:val="22"/>
        </w:rPr>
        <w:t>3) une personne, installée en métropole, me contact suite à une vidéo, parce qu'il souhaitait investir dans son ile d'origine située dans les Antilles françaises. Elle avait regardé le prix des biens immobiliers à acquérir destinés à la location saisonnière. Les prix dépassaient son budget. Motivée et ne voulant pas renoncer, elle a regardé des biens situés plus éloignés du rivage soit dans les terres. Evidement cette situation géographique était plutôt atypique pour des vacanciers. La décision a été de se positionner sur une clientèle a faibles revenus mais qui souhaitait visiter les Antilles. Le bien a donc été acquis. L'analyse du marché à montré que cette clientèle voyageait avec des compagnies aériennes dites "charter" et de ce fait l'atterrissage se faisait très toto le matin. Les taxis n'étant pas pléthore à cette heure là, il a été décidé de mettre à disposition un véhicule. Le client reçoit un SMS lui indiquant où est garée le véhicule et un code permettant d'ouvrir le boitier métallique coincé avec le fenêtre du véhicule relevée. Dans ce boitier il trouve les clés du véhicule. Un GPS à l'intérieur est programmé pour guider les occupants à la destination du bien de leur vacance "un peu isolé" du centre. L'heure d'arrivé sur le lieu de villégiature étant avancé mais tôt dans la mâtiné, il a été prévu de garnir le réfrigérateur permettant de survivre pendant 48h.</w:t>
      </w:r>
    </w:p>
    <w:p>
      <w:pPr>
        <w:spacing w:before="0" w:after="180" w:line="264" w:lineRule="auto"/>
        <w:ind w:firstLine="340"/>
        <w:jc w:val="both"/>
      </w:pPr>
      <w:r>
        <w:rPr>
          <w:rFonts w:ascii="Cambria" w:hAnsi="Cambria"/>
          <w:b w:val="0"/>
          <w:i w:val="0"/>
          <w:color w:val="141A21"/>
          <w:sz w:val="22"/>
        </w:rPr>
        <w:t>En fait l'idée a été de présenter un bien dans les Antilles à un prix "intéressant" comparativement aux autres produits présentés sur les mêmes sites de vacances et de ce fait réaliser un taux de remplissage très honorable. Par contre il entait proposé des services complémentaires et non obligatoires, mais dans la pratique retenus dans la majorité des cas car les vacanciers ne voulaient pas s'embêtés et avaient un véhiculé de location, un réfrigérateur plein. Évidement cette organisation a orienté ce client sur la création d'une société commerciale de type SAS qui a acquis le bien immobilier, le véhicule, qui salariait une personne pour faire les achats de nourritures.</w:t>
      </w:r>
    </w:p>
    <w:p>
      <w:pPr>
        <w:spacing w:before="0" w:after="180" w:line="264" w:lineRule="auto"/>
        <w:ind w:firstLine="340"/>
        <w:jc w:val="both"/>
      </w:pPr>
      <w:r>
        <w:rPr>
          <w:rFonts w:ascii="Cambria" w:hAnsi="Cambria"/>
          <w:b w:val="0"/>
          <w:i w:val="0"/>
          <w:color w:val="141A21"/>
          <w:sz w:val="22"/>
        </w:rPr>
        <w:t>4) j'ai appliqué ce concept, pour une cliente ayant, en indivision, une propriété de famille "proche " de la cote normande. Dans ce cas la maison était louée à une SAS, détenue par la cliente et nous avons positionnée le véhicule au abord de la gare la plus proche, négociée avec les vacanciers, et avons proposé des vélos en location.</w:t>
      </w:r>
    </w:p>
    <w:p>
      <w:r>
        <w:br w:type="page"/>
      </w:r>
    </w:p>
    <w:p>
      <w:pPr>
        <w:pStyle w:val="Heading2"/>
        <w:spacing w:before="240" w:after="200" w:line="276" w:lineRule="auto"/>
      </w:pPr>
      <w:r>
        <w:rPr>
          <w:rFonts w:ascii="Calibri" w:hAnsi="Calibri"/>
          <w:b/>
          <w:i w:val="0"/>
          <w:color w:val="8A6D2A"/>
          <w:sz w:val="36"/>
        </w:rPr>
        <w:t>Chapitre 20 — La holding offshore</w:t>
      </w:r>
    </w:p>
    <w:p>
      <w:pPr>
        <w:spacing w:before="0" w:after="180" w:line="264" w:lineRule="auto"/>
        <w:jc w:val="both"/>
      </w:pPr>
      <w:r>
        <w:rPr>
          <w:rFonts w:ascii="Cambria" w:hAnsi="Cambria"/>
          <w:b w:val="0"/>
          <w:i w:val="0"/>
          <w:color w:val="141A21"/>
          <w:sz w:val="22"/>
        </w:rPr>
        <w:t>La holding en France, La holding en Europe (ou la faire), la holding hors de l'Europe</w:t>
      </w:r>
    </w:p>
    <w:p>
      <w:pPr>
        <w:spacing w:before="0" w:after="180" w:line="264" w:lineRule="auto"/>
        <w:ind w:firstLine="340"/>
        <w:jc w:val="both"/>
      </w:pPr>
      <w:r>
        <w:rPr>
          <w:rFonts w:ascii="Cambria" w:hAnsi="Cambria"/>
          <w:b w:val="0"/>
          <w:i w:val="0"/>
          <w:color w:val="141A21"/>
          <w:sz w:val="22"/>
        </w:rPr>
        <w:t>Alors là quel sujet tabou allons nous aborder ?</w:t>
      </w:r>
    </w:p>
    <w:p>
      <w:pPr>
        <w:spacing w:before="0" w:after="180" w:line="264" w:lineRule="auto"/>
        <w:ind w:firstLine="340"/>
        <w:jc w:val="both"/>
      </w:pPr>
      <w:r>
        <w:rPr>
          <w:rFonts w:ascii="Cambria" w:hAnsi="Cambria"/>
          <w:b w:val="0"/>
          <w:i w:val="0"/>
          <w:color w:val="141A21"/>
          <w:sz w:val="22"/>
        </w:rPr>
        <w:t>En fait aucun, tout est affaire de bon sens ; pourquoi faire un holding dans un autre pays que la France ?</w:t>
      </w:r>
    </w:p>
    <w:p>
      <w:pPr>
        <w:spacing w:before="0" w:after="180" w:line="264" w:lineRule="auto"/>
        <w:ind w:firstLine="340"/>
        <w:jc w:val="both"/>
      </w:pPr>
      <w:r>
        <w:rPr>
          <w:rFonts w:ascii="Cambria" w:hAnsi="Cambria"/>
          <w:b w:val="0"/>
          <w:i w:val="0"/>
          <w:color w:val="141A21"/>
          <w:sz w:val="22"/>
        </w:rPr>
        <w:t>Le code de commerce dans son article L. 225-97 dispose pour les SA que :</w:t>
      </w:r>
    </w:p>
    <w:p>
      <w:pPr>
        <w:spacing w:before="200" w:after="240" w:line="288" w:lineRule="auto"/>
        <w:ind w:left="397"/>
        <w:jc w:val="both"/>
        <w:pBdr>
          <w:left w:val="single" w:sz="18" w:space="10" w:color="b08d3e"/>
        </w:pBdr>
      </w:pPr>
      <w:r>
        <w:rPr>
          <w:rFonts w:ascii="Cambria" w:hAnsi="Cambria"/>
          <w:b w:val="0"/>
          <w:i/>
          <w:color w:val="3C3A34"/>
          <w:sz w:val="21"/>
        </w:rPr>
        <w:t>« L’assemblée générale extraordinaire peut changer la nationalité de la société, à condition que le pays d’accueil ait conclu avec la France une convention spéciale permettant d’acquérir sa nationalité et de transférer le siège social sur son territoire, et conservant à la société sa personnalité juridique »</w:t>
      </w:r>
    </w:p>
    <w:p>
      <w:pPr>
        <w:spacing w:before="0" w:after="180" w:line="264" w:lineRule="auto"/>
        <w:ind w:firstLine="340"/>
        <w:jc w:val="both"/>
      </w:pPr>
      <w:r>
        <w:rPr>
          <w:rFonts w:ascii="Cambria" w:hAnsi="Cambria"/>
          <w:b w:val="0"/>
          <w:i w:val="0"/>
          <w:color w:val="141A21"/>
          <w:sz w:val="22"/>
        </w:rPr>
        <w:t>Bien sur que j’ai rencontré au cours de mes consultations des clients qui m’ont fait part de leur ras-le-bol de la France et de ses impôts mutualisés et surtout comme il est souvent dit par les ENTREPRENEURS, des impôts que pour certains.</w:t>
      </w:r>
    </w:p>
    <w:p>
      <w:pPr>
        <w:spacing w:before="0" w:after="180" w:line="264" w:lineRule="auto"/>
        <w:ind w:firstLine="340"/>
        <w:jc w:val="both"/>
      </w:pPr>
      <w:r>
        <w:rPr>
          <w:rFonts w:ascii="Cambria" w:hAnsi="Cambria"/>
          <w:b w:val="0"/>
          <w:i w:val="0"/>
          <w:color w:val="141A21"/>
          <w:sz w:val="22"/>
        </w:rPr>
        <w:t>Je ne raconterai pas l’histoire des 5 copains qui se retrouvent au bar pour consommer une bière, mais cette problématique de l’imposition a toujours été au cœur des discussions fiscales, auxquelles je répondais :</w:t>
      </w:r>
    </w:p>
    <w:p>
      <w:pPr>
        <w:spacing w:before="200" w:after="240" w:line="288" w:lineRule="auto"/>
        <w:ind w:left="397"/>
        <w:jc w:val="both"/>
        <w:pBdr>
          <w:left w:val="single" w:sz="18" w:space="10" w:color="b08d3e"/>
        </w:pBdr>
      </w:pPr>
      <w:r>
        <w:rPr>
          <w:rFonts w:ascii="Cambria" w:hAnsi="Cambria"/>
          <w:b w:val="0"/>
          <w:i/>
          <w:color w:val="3C3A34"/>
          <w:sz w:val="21"/>
        </w:rPr>
        <w:t>« Payer zéro impôt mais vous rigolez je ne suis pas magicien »</w:t>
      </w:r>
    </w:p>
    <w:p>
      <w:pPr>
        <w:spacing w:before="0" w:after="180" w:line="264" w:lineRule="auto"/>
        <w:ind w:firstLine="340"/>
        <w:jc w:val="both"/>
      </w:pPr>
      <w:r>
        <w:rPr>
          <w:rFonts w:ascii="Cambria" w:hAnsi="Cambria"/>
          <w:b w:val="0"/>
          <w:i w:val="0"/>
          <w:color w:val="141A21"/>
          <w:sz w:val="22"/>
        </w:rPr>
        <w:t>Pourtant il faut avouer que j’ai constaté en accompagnant des ENTREPRENEURS dans leur recherche du graal du zéro impôt, que des solutions s’y approchent.</w:t>
      </w:r>
    </w:p>
    <w:p>
      <w:pPr>
        <w:spacing w:before="0" w:after="180" w:line="264" w:lineRule="auto"/>
        <w:ind w:firstLine="340"/>
        <w:jc w:val="both"/>
      </w:pPr>
      <w:r>
        <w:rPr>
          <w:rFonts w:ascii="Cambria" w:hAnsi="Cambria"/>
          <w:b w:val="0"/>
          <w:i w:val="0"/>
          <w:color w:val="141A21"/>
          <w:sz w:val="22"/>
        </w:rPr>
        <w:t>Si les pays européens n’arrivent pas a se mètrent d’accord sur un taux d’impôt sur les sociétés unique applicable dans toute l’Europe afin de lutter contre le lobbying fiscal, c’est que chacun rêve d’attirer à lui le maximum d’entreprises pour récolter des sous via les impôts.</w:t>
      </w:r>
    </w:p>
    <w:p>
      <w:pPr>
        <w:spacing w:before="0" w:after="180" w:line="264" w:lineRule="auto"/>
        <w:ind w:firstLine="340"/>
        <w:jc w:val="both"/>
      </w:pPr>
      <w:r>
        <w:rPr>
          <w:rFonts w:ascii="Cambria" w:hAnsi="Cambria"/>
          <w:b w:val="0"/>
          <w:i w:val="0"/>
          <w:color w:val="141A21"/>
          <w:sz w:val="22"/>
        </w:rPr>
        <w:t>De ce fait il ne faut regretter de constater que des entreprises déménagent pour installer leur siège social dans des contrées où l’herbe est plus verte. Néanmoins soyez conscients que ce déménagement va engendrer plusieurs chamboulements et encore une fois n’écoutez pas que les chants des sirènes de ceux qui ont passé le pas et qui vous vante l’eldorado, analysez bien si la situation personnelle et patrimoniale de cette personne et identique à la votre.</w:t>
      </w:r>
    </w:p>
    <w:p>
      <w:pPr>
        <w:spacing w:before="0" w:after="180" w:line="264" w:lineRule="auto"/>
        <w:ind w:firstLine="340"/>
        <w:jc w:val="both"/>
      </w:pPr>
      <w:r>
        <w:rPr>
          <w:rFonts w:ascii="Cambria" w:hAnsi="Cambria"/>
          <w:b w:val="0"/>
          <w:i w:val="0"/>
          <w:color w:val="141A21"/>
          <w:sz w:val="22"/>
        </w:rPr>
        <w:t>La plus importante analyse que j’ai réalisée était pour un client qui pesait à l’époque quelques centaines de milliers d’euros. Jeune entrepreneur et sûr de lui, il voulait développer encore pleins de business et croyais en sa bonne étoile. Moi aussi d’ailleurs. La question de la fiscalité s’est évidement posée. Nous avons constaté que même « le déménagement fiscal» dans un autre pays européen ne le satisfaisait pas. Après plusieurs consultations avec un avocat spécialiste de l’EXIT TAX, nous avons arrêté la stratégie du déménagement dans une ile de l’océan indien avec femme et enfant. Si vous voulez assurer votre stratégie patrimoniale il faut se donner a fond. Trop de gens se font rattraper parce qu’il joue qu’à moitié la partie. Le nombre d’exemple n’est plus a citer de personnalités qui se sont installer « officiellement » à Londres ou Bruxelles et qui en fait étaient toujours en France, car les enfants restaient dans leurs école françaises, que le conjoint gardait son emploi en France, que les dépenses en cartes bleus démontraient des achats en France. NON, si vous décidez que votre développement professionnel doit passer par une expatriation alors vous le faites en vrai, comme Romain CAILLET, auteur de l’ouvrage « Adieu Patron » et qui annonce sur les réseaux sociaux son départ à l’ile Maurice, pour développer ses activités de formations sur internet car il trouve là-bas des équipes compétentes et moins couteuses qu’en France.</w:t>
      </w:r>
    </w:p>
    <w:p>
      <w:pPr>
        <w:spacing w:before="0" w:after="180" w:line="264" w:lineRule="auto"/>
        <w:ind w:firstLine="340"/>
        <w:jc w:val="both"/>
      </w:pPr>
      <w:r>
        <w:rPr>
          <w:rFonts w:ascii="Cambria" w:hAnsi="Cambria"/>
          <w:b w:val="0"/>
          <w:i w:val="0"/>
          <w:color w:val="141A21"/>
          <w:sz w:val="22"/>
        </w:rPr>
        <w:t>Il faut savoir où se situe vos intérêts économiques pour savoir où poser votre holding. Néanmoins vous pouvez aussi, si vos intérêts et/ou vos partenaires économiques sont en France, garder le siège social de cette entreprise en France, via un centre d’affaires par exemple et vous-même partir vivre et/ou travailler pour une de vos filiales que vous lancez dans un pays étranger. De ce fait lors de votre retour en France, vous reprenez votre position fiscale personnelle sans avoir à modifier tous le juridique de vos sociétés.</w:t>
      </w:r>
    </w:p>
    <w:p>
      <w:pPr>
        <w:spacing w:before="0" w:after="180" w:line="264" w:lineRule="auto"/>
        <w:ind w:firstLine="340"/>
        <w:jc w:val="both"/>
      </w:pPr>
      <w:r>
        <w:rPr>
          <w:rFonts w:ascii="Cambria" w:hAnsi="Cambria"/>
          <w:b w:val="0"/>
          <w:i w:val="0"/>
          <w:color w:val="141A21"/>
          <w:sz w:val="22"/>
        </w:rPr>
        <w:t>Bien sûr si la motivation première est que vos société payent un impôt à un taux inferieur que celui proposé par la France, alors il faut s’organiser, mais tout est possible.</w:t>
      </w:r>
    </w:p>
    <w:p>
      <w:pPr>
        <w:pStyle w:val="Heading3"/>
        <w:spacing w:before="400" w:after="100" w:line="276" w:lineRule="auto"/>
      </w:pPr>
      <w:r>
        <w:rPr>
          <w:rFonts w:ascii="Calibri" w:hAnsi="Calibri"/>
          <w:b/>
          <w:i w:val="0"/>
          <w:color w:val="141A21"/>
          <w:sz w:val="27"/>
        </w:rPr>
        <w:t>Conclusion</w:t>
      </w:r>
    </w:p>
    <w:p>
      <w:pPr>
        <w:spacing w:before="0" w:after="180" w:line="264" w:lineRule="auto"/>
        <w:jc w:val="both"/>
      </w:pPr>
      <w:r>
        <w:rPr>
          <w:rFonts w:ascii="Cambria" w:hAnsi="Cambria"/>
          <w:b w:val="0"/>
          <w:i w:val="0"/>
          <w:color w:val="141A21"/>
          <w:sz w:val="22"/>
        </w:rPr>
        <w:t>Conclusion :</w:t>
      </w:r>
    </w:p>
    <w:p>
      <w:pPr>
        <w:spacing w:before="0" w:after="180" w:line="264" w:lineRule="auto"/>
        <w:ind w:firstLine="340"/>
        <w:jc w:val="both"/>
      </w:pPr>
      <w:r>
        <w:rPr>
          <w:rFonts w:ascii="Cambria" w:hAnsi="Cambria"/>
          <w:b w:val="0"/>
          <w:i w:val="0"/>
          <w:color w:val="141A21"/>
          <w:sz w:val="22"/>
        </w:rPr>
        <w:t>Bon voila c’est la fin comme on dit. J’espère que la boite de DOLIPRANE n’est pas vide. C’est moi qui vais maintenant en prendre après 4 ans de cogitation et d’écriture dominicale.</w:t>
      </w:r>
    </w:p>
    <w:p>
      <w:pPr>
        <w:spacing w:before="0" w:after="180" w:line="264" w:lineRule="auto"/>
        <w:ind w:firstLine="340"/>
        <w:jc w:val="both"/>
      </w:pPr>
      <w:r>
        <w:rPr>
          <w:rFonts w:ascii="Cambria" w:hAnsi="Cambria"/>
          <w:b w:val="0"/>
          <w:i w:val="0"/>
          <w:color w:val="141A21"/>
          <w:sz w:val="22"/>
        </w:rPr>
        <w:t>Je voulais par cet ouvrage informer tous les ENTREPRENEURS que vous êtes ou que vous voulez devenir, que la vie d’un chef d’entreprise n’est pas un long fleuve tranquille mais elle génère de bons moments et de relations humaines fortes.</w:t>
      </w:r>
    </w:p>
    <w:p>
      <w:pPr>
        <w:spacing w:before="0" w:after="180" w:line="264" w:lineRule="auto"/>
        <w:ind w:firstLine="340"/>
        <w:jc w:val="both"/>
      </w:pPr>
      <w:r>
        <w:rPr>
          <w:rFonts w:ascii="Cambria" w:hAnsi="Cambria"/>
          <w:b w:val="0"/>
          <w:i w:val="0"/>
          <w:color w:val="141A21"/>
          <w:sz w:val="22"/>
        </w:rPr>
        <w:t>J’ai voulu vous exposer des montages juridiques, des options comptables et fiscales et surtout vous alerter sur le fait qu’un ENTREPRENEUR ca bâti et ca transmet soit du patrimoine soit ses connaissances. Depuis 25 ans j’essaye d’assister dans mes différentes fonctions auprès des associations de chefs d’entreprises, du tribunal, de mes clients, une soif de créer. Il faut être conscient que tout le monde ne réussira pas son rêve entrepreneurial, mais vous aurez essayé, vous aurez démarré votre projet.</w:t>
      </w:r>
    </w:p>
    <w:p>
      <w:pPr>
        <w:spacing w:before="0" w:after="180" w:line="264" w:lineRule="auto"/>
        <w:ind w:firstLine="340"/>
        <w:jc w:val="both"/>
      </w:pPr>
      <w:r>
        <w:rPr>
          <w:rFonts w:ascii="Cambria" w:hAnsi="Cambria"/>
          <w:b w:val="0"/>
          <w:i w:val="0"/>
          <w:color w:val="141A21"/>
          <w:sz w:val="22"/>
        </w:rPr>
        <w:t>Quelques citations que j’aime bien :</w:t>
      </w:r>
    </w:p>
    <w:p>
      <w:pPr>
        <w:spacing w:before="200" w:after="240" w:line="288" w:lineRule="auto"/>
        <w:ind w:left="397"/>
        <w:jc w:val="both"/>
        <w:pBdr>
          <w:left w:val="single" w:sz="18" w:space="10" w:color="b08d3e"/>
        </w:pBdr>
      </w:pPr>
      <w:r>
        <w:rPr>
          <w:rFonts w:ascii="Cambria" w:hAnsi="Cambria"/>
          <w:b w:val="0"/>
          <w:i/>
          <w:color w:val="3C3A34"/>
          <w:sz w:val="21"/>
        </w:rPr>
        <w:t>« La prévision est difficile surtout quand elle concerne l’avenir » Pierre DAC « Il vaut mieux être bon à rien que mauvais en tout » inconnu « La différence entre un rêve et un projet c’est une date » Walt Disney Et sachez que chacun trouve sa motivation pour entreprendre : Hapsatou SY avait rédigé un chèque à son ordre d’un montant de 1 million d’euros, et a chaque fois qu’elle le voyait cela la motivait dans sa journée ; Olivier D. un entrepreneur de Saint Ouen l’Aumône, dans mon cher département du Val d’Oise, lui avait mis en fond d’écran de sa montre numérique, une photo de la Porsche GT3 qu’il rêvait et de ce fait à chaque fois qu’il prenait connaissance de l’heure en regardant sa montre il se motivait a aller travailler. Depuis il m’a dit qu’il avait pu acquérir son auto tant convoitée. Et cela ne date pas d’aujourd’hui, déjà Napoléon HILL indiquait dans son ouvrage "réfléchissez et devenez riche", comment un guerrier grec gagna une bataille avec une armée moins forte numériquement que celle de l'ennemi, qui après avoir débarqué ses hommes donna ordre de brûler les navires. Haranguant ses soldats avant la bataille, il leur dit :"comme vous pouvez le constater, nous n'avons plus de bateaux. Cela veut dire que nous ne pourrons plus quitter ces rivages vivants que si nous gagnons la bataille. Nous n'avons plus le choix : il nous faut vaincre ou mourir!" "Tout être humain, à un moment donné, souhaite avoir de l'argent. Or, il ne suffit pas de souhaiter être riche pour la devenir, il faut le désirer jusqu'à l'obsession, bâtir dans ce but un plan précis et s'y tenir avec une persévérance de tous les instants". Bien sur d’autres échoueront, mais comme Hapsatou SY l’indique si bien dans son livre, cela doit permettre de rebondir, soit en considérant que ce statut d’ENTREPRENEUR n’est pas pour vous, comme je le constate parfois après l’annonce d’une liquidation judicaire par le tribunal de commerce et que l’ancien chef d’entreprise indique qu’il était mieux quand il était « chef de chantier pour son employeur », ou en considérant que « cet échec » un fois analysé va permettre de ne plus faire la même erreur. Moi-même, j’ai analysé des actions qui n’ont pas portées les fruits envisagés, mais cela nous fait avancer. Mes différents exemple dans cet ouvrage, doivent vous permettre de vous identifiez à des créateurs qui ont déjà fait. L’expérience des autres forge votre propre formation. Cédric ANNICETTE dit souvent qu’on se forme tous les jours. Pour ma part, je trouve qu’on se construit tous les jours au fur et à mesure de notre vie personnelle et professionnelle, de nos rencontres avec les autres, de nos expériences, de nos échecs et aussi et c’est le plus motivants de nos succès. Alors maintenant, démarrez, lancez vous et surtout n’oubliez pas que pleins de gens autour de vous peuvent vous aider, vous assoter, pensez aux différents professionnels du droit et du chiffre à votre disposition, n’y voyez pas qu’un cout supplémentaire, pensez surtout que vous allez écrirai votre projet pour les 30 ans minimum devant vous, que vous allez écrire « vos 10 commandements », alors ne lésiner pas sur les conseils, il y a toujours une solution à chaque problème, mais faites attention au fait qu’une solution apporter par un professionnel à une de vos connaissances n’est pas forcement adaptée pour vous, souvenez vous de la SCI du beau-frere que je cite souvent dans me conférences. Comme en matière de voile, où il est d’usage de dire qu’il n’ya pas de bon vent pour celui qui ne sait pas où il veut aller, la mise en place du « triangle magique » va permettre aux chefs d’entreprises, pour ceux qui savent se projeter sur le plan patrimoniale 10 à 30 ans à l’avance, d’organiser et de planifier la transmission de leurs actifs professionnels (ou familiaux) avec une plus grande sérénité. De plus, le caractère éventuellement « progressiste » de la transmission facilitera, tant d’un point de vue psychologique qu’opérationnel, le passage du relais. Ca c’est ma logique ! c’est mon requiem pour l’ENTREPRENEUR au sens littéraire qui indique « qui commence cette prière pour … »</w:t>
      </w:r>
    </w:p>
    <w:p>
      <w:pPr>
        <w:spacing w:before="0" w:after="180" w:line="264" w:lineRule="auto"/>
        <w:ind w:firstLine="340"/>
        <w:jc w:val="both"/>
      </w:pPr>
      <w:r>
        <w:rPr>
          <w:rFonts w:ascii="Cambria" w:hAnsi="Cambria"/>
          <w:b w:val="0"/>
          <w:i w:val="0"/>
          <w:color w:val="141A21"/>
          <w:sz w:val="22"/>
        </w:rPr>
        <w:t>Voila ma vision, j’ai dis ! (ca c’est pour Franck)</w:t>
      </w:r>
    </w:p>
    <w:p>
      <w:r>
        <w:br w:type="page"/>
      </w:r>
    </w:p>
    <w:p>
      <w:pPr>
        <w:pStyle w:val="Heading2"/>
        <w:spacing w:before="240" w:after="200" w:line="276" w:lineRule="auto"/>
      </w:pPr>
      <w:r>
        <w:rPr>
          <w:rFonts w:ascii="Calibri" w:hAnsi="Calibri"/>
          <w:b/>
          <w:i w:val="0"/>
          <w:color w:val="8A6D2A"/>
          <w:sz w:val="36"/>
        </w:rPr>
        <w:t>Remerciements</w:t>
      </w:r>
    </w:p>
    <w:p>
      <w:pPr>
        <w:spacing w:before="0" w:after="180" w:line="264" w:lineRule="auto"/>
        <w:jc w:val="both"/>
      </w:pPr>
      <w:r>
        <w:rPr>
          <w:rFonts w:ascii="Cambria" w:hAnsi="Cambria"/>
          <w:b w:val="0"/>
          <w:i w:val="0"/>
          <w:color w:val="141A21"/>
          <w:sz w:val="22"/>
        </w:rPr>
        <w:t>Remerciements :</w:t>
      </w:r>
    </w:p>
    <w:p>
      <w:pPr>
        <w:spacing w:before="0" w:after="180" w:line="264" w:lineRule="auto"/>
        <w:ind w:firstLine="340"/>
        <w:jc w:val="both"/>
      </w:pPr>
      <w:r>
        <w:rPr>
          <w:rFonts w:ascii="Cambria" w:hAnsi="Cambria"/>
          <w:b w:val="0"/>
          <w:i w:val="0"/>
          <w:color w:val="141A21"/>
          <w:sz w:val="22"/>
        </w:rPr>
        <w:t>Tout d’abord je remercie les différents auteurs que j’ai cités tout au long de ce livre. En effet c’est grâce à la multitude d’ouvrages que j’ingurgite que je me suis forgé ces connaissances techniques et économiques ;</w:t>
      </w:r>
    </w:p>
    <w:p>
      <w:pPr>
        <w:spacing w:before="0" w:after="180" w:line="264" w:lineRule="auto"/>
        <w:ind w:firstLine="340"/>
        <w:jc w:val="both"/>
      </w:pPr>
      <w:r>
        <w:rPr>
          <w:rFonts w:ascii="Cambria" w:hAnsi="Cambria"/>
          <w:b w:val="0"/>
          <w:i w:val="0"/>
          <w:color w:val="141A21"/>
          <w:sz w:val="22"/>
        </w:rPr>
        <w:t>Après sans pouvoir citer toutes les personnes qui ont eu de l’influence et m’ont permis de me construire je souhaite remercier :</w:t>
      </w:r>
    </w:p>
    <w:p>
      <w:pPr>
        <w:spacing w:before="0" w:after="180" w:line="264" w:lineRule="auto"/>
        <w:ind w:firstLine="340"/>
        <w:jc w:val="both"/>
      </w:pPr>
      <w:r>
        <w:rPr>
          <w:rFonts w:ascii="Cambria" w:hAnsi="Cambria"/>
          <w:b w:val="0"/>
          <w:i w:val="0"/>
          <w:color w:val="141A21"/>
          <w:sz w:val="22"/>
        </w:rPr>
        <w:t>Ma maman pour m’avoir si souvent soutenue dans mes projets en me disant, lorsque les choses n’avançaient pas comme prévues, que j’avais toujours 10 ans d’avance ;</w:t>
      </w:r>
    </w:p>
    <w:p>
      <w:pPr>
        <w:spacing w:before="0" w:after="180" w:line="264" w:lineRule="auto"/>
        <w:ind w:firstLine="340"/>
        <w:jc w:val="both"/>
      </w:pPr>
      <w:r>
        <w:rPr>
          <w:rFonts w:ascii="Cambria" w:hAnsi="Cambria"/>
          <w:b w:val="0"/>
          <w:i w:val="0"/>
          <w:color w:val="141A21"/>
          <w:sz w:val="22"/>
        </w:rPr>
        <w:t>Tonton Jeannot pour avoir été mon mentor dans ma vie de chef d’entreprise :</w:t>
      </w:r>
    </w:p>
    <w:p>
      <w:pPr>
        <w:spacing w:before="0" w:after="180" w:line="264" w:lineRule="auto"/>
        <w:ind w:firstLine="340"/>
        <w:jc w:val="both"/>
      </w:pPr>
      <w:r>
        <w:rPr>
          <w:rFonts w:ascii="Cambria" w:hAnsi="Cambria"/>
          <w:b w:val="0"/>
          <w:i w:val="0"/>
          <w:color w:val="141A21"/>
          <w:sz w:val="22"/>
        </w:rPr>
        <w:t>Yves CHARON pour avoir été mon mentor dans ma vie de magistrat ;</w:t>
      </w:r>
    </w:p>
    <w:p>
      <w:pPr>
        <w:spacing w:before="0" w:after="180" w:line="264" w:lineRule="auto"/>
        <w:ind w:firstLine="340"/>
        <w:jc w:val="both"/>
      </w:pPr>
      <w:r>
        <w:rPr>
          <w:rFonts w:ascii="Cambria" w:hAnsi="Cambria"/>
          <w:b w:val="0"/>
          <w:i w:val="0"/>
          <w:color w:val="141A21"/>
          <w:sz w:val="22"/>
        </w:rPr>
        <w:t>Cédric ANNICETTE qui en plus de son amitié a su me faire accélérer quand il le fallait ;</w:t>
      </w:r>
    </w:p>
    <w:p>
      <w:pPr>
        <w:spacing w:before="0" w:after="180" w:line="264" w:lineRule="auto"/>
        <w:ind w:firstLine="340"/>
        <w:jc w:val="both"/>
      </w:pPr>
      <w:r>
        <w:rPr>
          <w:rFonts w:ascii="Cambria" w:hAnsi="Cambria"/>
          <w:b w:val="0"/>
          <w:i w:val="0"/>
          <w:color w:val="141A21"/>
          <w:sz w:val="22"/>
        </w:rPr>
        <w:t>L’ensemble des collaborateurs avec qui j’ai travaillé et plus particulièrement celles qui m’ont entouré presque 20 ans les Sandrine’s, Maud et Valérie ;</w:t>
      </w:r>
    </w:p>
    <w:p>
      <w:pPr>
        <w:spacing w:before="0" w:after="180" w:line="264" w:lineRule="auto"/>
        <w:ind w:firstLine="340"/>
        <w:jc w:val="both"/>
      </w:pPr>
      <w:r>
        <w:rPr>
          <w:rFonts w:ascii="Cambria" w:hAnsi="Cambria"/>
          <w:b w:val="0"/>
          <w:i w:val="0"/>
          <w:color w:val="141A21"/>
          <w:sz w:val="22"/>
        </w:rPr>
        <w:t>L’ensemble de mes clients qui grâce à eux j’ai tellement appris en relation humaine et a rechercher des solutions pour eux les yeux rivés sur les écrans ou dans les bouquins de droit ;</w:t>
      </w:r>
    </w:p>
    <w:p>
      <w:pPr>
        <w:spacing w:before="0" w:after="180" w:line="264" w:lineRule="auto"/>
        <w:ind w:firstLine="340"/>
        <w:jc w:val="both"/>
      </w:pPr>
      <w:r>
        <w:rPr>
          <w:rFonts w:ascii="Cambria" w:hAnsi="Cambria"/>
          <w:b w:val="0"/>
          <w:i w:val="0"/>
          <w:color w:val="141A21"/>
          <w:sz w:val="22"/>
        </w:rPr>
        <w:t>Ollivier MOISAN qui m’a révélé que je pouvais encore faire mieux professionnellement que ce que j’avais déjà construit en me libérant de certains carcans ;</w:t>
      </w:r>
    </w:p>
    <w:p>
      <w:pPr>
        <w:spacing w:before="0" w:after="180" w:line="264" w:lineRule="auto"/>
        <w:ind w:firstLine="340"/>
        <w:jc w:val="both"/>
      </w:pPr>
      <w:r>
        <w:rPr>
          <w:rFonts w:ascii="Cambria" w:hAnsi="Cambria"/>
          <w:b w:val="0"/>
          <w:i w:val="0"/>
          <w:color w:val="141A21"/>
          <w:sz w:val="22"/>
        </w:rPr>
        <w:t>François Le Bris pour nos discussions sur l’intérêt du LMNP ;</w:t>
      </w:r>
    </w:p>
    <w:p>
      <w:pPr>
        <w:spacing w:before="0" w:after="180" w:line="264" w:lineRule="auto"/>
        <w:ind w:firstLine="340"/>
        <w:jc w:val="both"/>
      </w:pPr>
      <w:r>
        <w:rPr>
          <w:rFonts w:ascii="Cambria" w:hAnsi="Cambria"/>
          <w:b w:val="0"/>
          <w:i w:val="0"/>
          <w:color w:val="141A21"/>
          <w:sz w:val="22"/>
        </w:rPr>
        <w:t>Franck LAMBERT pour son œil technique lors de ses formations FORCOGES ;</w:t>
      </w:r>
    </w:p>
    <w:p>
      <w:pPr>
        <w:spacing w:before="0" w:after="180" w:line="264" w:lineRule="auto"/>
        <w:ind w:firstLine="340"/>
        <w:jc w:val="both"/>
      </w:pPr>
      <w:r>
        <w:rPr>
          <w:rFonts w:ascii="Cambria" w:hAnsi="Cambria"/>
          <w:b w:val="0"/>
          <w:i w:val="0"/>
          <w:color w:val="141A21"/>
          <w:sz w:val="22"/>
        </w:rPr>
        <w:t>Richard PATROSSO pour m’avoir sollicité afin d’écrire ce livre avec beaucoup de plaisir (une fois fini) et de crise de nerf lorsque rien ne sortait de mes doigts ;</w:t>
      </w:r>
    </w:p>
    <w:p>
      <w:pPr>
        <w:spacing w:before="0" w:after="180" w:line="264" w:lineRule="auto"/>
        <w:ind w:firstLine="340"/>
        <w:jc w:val="both"/>
      </w:pPr>
      <w:r>
        <w:rPr>
          <w:rFonts w:ascii="Cambria" w:hAnsi="Cambria"/>
          <w:b w:val="0"/>
          <w:i w:val="0"/>
          <w:color w:val="141A21"/>
          <w:sz w:val="22"/>
        </w:rPr>
        <w:t>Et mon épouse Véro qui comme un bélier a su me pousser au cul quand je désespérais d’écrire ce livre, merci chérie pour cela et pour pleins d’autres choses.</w:t>
      </w:r>
    </w:p>
    <w:p>
      <w:r>
        <w:br w:type="page"/>
      </w:r>
    </w:p>
    <w:tbl>
      <w:tblPr>
        <w:tblW w:type="auto" w:w="0"/>
        <w:jc w:val="center"/>
        <w:tblLook w:firstColumn="1" w:firstRow="1" w:lastColumn="0" w:lastRow="0" w:noHBand="0" w:noVBand="1" w:val="04A0"/>
      </w:tblPr>
      <w:tblGrid>
        <w:gridCol w:w="6747"/>
      </w:tblGrid>
      <w:tr>
        <w:trPr>
          <w:trHeight w:val="11622" w:hRule="exact"/>
        </w:trPr>
        <w:tc>
          <w:tcPr>
            <w:tcW w:type="dxa" w:w="8617"/>
            <w:shd w:val="clear" w:color="auto" w:fill="141a21"/>
            <w:vAlign w:val="center"/>
          </w:tcPr>
          <w:p>
            <w:pPr>
              <w:spacing w:before="120" w:after="200"/>
              <w:jc w:val="center"/>
            </w:pPr>
            <w:r>
              <w:rPr>
                <w:rFonts w:ascii="Calibri" w:hAnsi="Calibri"/>
                <w:b w:val="0"/>
                <w:i w:val="0"/>
                <w:color w:val="C9A95B"/>
                <w:sz w:val="18"/>
              </w:rPr>
              <w:t>L'ART DE L'ENTREPRENEUR</w:t>
            </w:r>
          </w:p>
          <w:p>
            <w:pPr>
              <w:spacing w:before="0" w:after="100"/>
              <w:jc w:val="center"/>
            </w:pPr>
            <w:r>
              <w:rPr>
                <w:rFonts w:ascii="Cambria" w:hAnsi="Cambria"/>
                <w:b w:val="0"/>
                <w:i/>
                <w:color w:val="FAF7F1"/>
                <w:sz w:val="32"/>
              </w:rPr>
              <w:t>« Celui qui exécute certains travaux à son propre compte. »</w:t>
            </w:r>
          </w:p>
          <w:p>
            <w:pPr>
              <w:spacing w:before="0" w:after="840"/>
              <w:jc w:val="center"/>
            </w:pPr>
            <w:r>
              <w:rPr>
                <w:rFonts w:ascii="Calibri" w:hAnsi="Calibri"/>
                <w:b w:val="0"/>
                <w:i w:val="0"/>
                <w:color w:val="9A8650"/>
                <w:sz w:val="16"/>
              </w:rPr>
              <w:t>— DICTIONNAIRE LAROUSSE</w:t>
            </w:r>
          </w:p>
          <w:p>
            <w:pPr>
              <w:spacing w:before="0" w:after="160"/>
              <w:jc w:val="center"/>
            </w:pPr>
            <w:r>
              <w:rPr>
                <w:rFonts w:ascii="Calibri" w:hAnsi="Calibri"/>
                <w:b w:val="0"/>
                <w:i w:val="0"/>
                <w:color w:val="C9A95B"/>
                <w:sz w:val="18"/>
              </w:rPr>
              <w:t>UN PARCOURS EN QUATRE MONDES</w:t>
            </w:r>
          </w:p>
          <w:p>
            <w:pPr>
              <w:spacing w:before="0" w:after="100"/>
              <w:jc w:val="center"/>
            </w:pPr>
            <w:r>
              <w:rPr>
                <w:rFonts w:ascii="Cambria" w:hAnsi="Cambria"/>
                <w:b w:val="0"/>
                <w:i w:val="0"/>
                <w:color w:val="FAF7F1"/>
                <w:sz w:val="24"/>
              </w:rPr>
              <w:t>Le monde de la comptabilité</w:t>
            </w:r>
          </w:p>
          <w:p>
            <w:pPr>
              <w:spacing w:before="0" w:after="100"/>
              <w:jc w:val="center"/>
            </w:pPr>
            <w:r>
              <w:rPr>
                <w:rFonts w:ascii="Cambria" w:hAnsi="Cambria"/>
                <w:b w:val="0"/>
                <w:i w:val="0"/>
                <w:color w:val="FAF7F1"/>
                <w:sz w:val="24"/>
              </w:rPr>
              <w:t>Le monde des particuliers et entrepreneurs individuels</w:t>
            </w:r>
          </w:p>
          <w:p>
            <w:pPr>
              <w:spacing w:before="0" w:after="100"/>
              <w:jc w:val="center"/>
            </w:pPr>
            <w:r>
              <w:rPr>
                <w:rFonts w:ascii="Cambria" w:hAnsi="Cambria"/>
                <w:b w:val="0"/>
                <w:i w:val="0"/>
                <w:color w:val="FAF7F1"/>
                <w:sz w:val="24"/>
              </w:rPr>
              <w:t>Le monde des sociétés</w:t>
            </w:r>
          </w:p>
          <w:p>
            <w:pPr>
              <w:spacing w:before="0" w:after="100"/>
              <w:jc w:val="center"/>
            </w:pPr>
            <w:r>
              <w:rPr>
                <w:rFonts w:ascii="Cambria" w:hAnsi="Cambria"/>
                <w:b w:val="0"/>
                <w:i w:val="0"/>
                <w:color w:val="FAF7F1"/>
                <w:sz w:val="24"/>
              </w:rPr>
              <w:t>La holding</w:t>
            </w:r>
          </w:p>
          <w:p>
            <w:pPr>
              <w:spacing w:before="840" w:after="80"/>
              <w:jc w:val="center"/>
            </w:pPr>
            <w:r>
              <w:rPr>
                <w:rFonts w:ascii="Cambria" w:hAnsi="Cambria"/>
                <w:b/>
                <w:i w:val="0"/>
                <w:color w:val="FAF7F1"/>
                <w:sz w:val="32"/>
              </w:rPr>
              <w:t>LE TRIANGLE MAGIQUE</w:t>
            </w:r>
          </w:p>
          <w:p>
            <w:pPr>
              <w:spacing w:before="0" w:after="640"/>
              <w:jc w:val="center"/>
            </w:pPr>
            <w:r>
              <w:rPr>
                <w:rFonts w:ascii="Cambria" w:hAnsi="Cambria"/>
                <w:b w:val="0"/>
                <w:i/>
                <w:color w:val="C9A95B"/>
                <w:sz w:val="19"/>
              </w:rPr>
              <w:t>Créer et gérer son patrimoine en sociétés !</w:t>
            </w:r>
          </w:p>
          <w:p>
            <w:pPr>
              <w:spacing w:before="0" w:after="0"/>
              <w:jc w:val="center"/>
            </w:pPr>
            <w:r>
              <w:rPr>
                <w:rFonts w:ascii="Calibri" w:hAnsi="Calibri"/>
                <w:b w:val="0"/>
                <w:i w:val="0"/>
                <w:color w:val="FAF7F1"/>
                <w:sz w:val="18"/>
              </w:rPr>
              <w:t>ROMAIN LEMAIRE</w:t>
            </w:r>
          </w:p>
        </w:tc>
      </w:tr>
    </w:tbl>
    <w:sectPr w:rsidR="00FC693F" w:rsidRPr="0006063C" w:rsidSect="00034616">
      <w:pgSz w:w="9071" w:h="13606"/>
      <w:pgMar w:top="1247" w:right="107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color w:val="141A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magie des sociétés — Le triangle magique</dc:title>
  <dc:subject/>
  <dc:creator>Romain Lemaire</dc:creator>
  <cp:keywords/>
  <dc:description>generated by python-docx</dc:description>
  <cp:lastModifiedBy/>
  <cp:revision>1</cp:revision>
  <dcterms:created xsi:type="dcterms:W3CDTF">2013-12-23T23:15:00Z</dcterms:created>
  <dcterms:modified xsi:type="dcterms:W3CDTF">2013-12-23T23:15:00Z</dcterms:modified>
  <cp:category/>
</cp:coreProperties>
</file>