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Hiragino Sans GB" w:hAnsi="Hiragino Sans GB" w:eastAsia="Hiragino Sans GB"/>
          <w:b/>
          <w:i w:val="0"/>
          <w:color w:val="2E74B5"/>
          <w:sz w:val="17"/>
        </w:rPr>
        <w:t>SUPPLY CHAIN STARTUP CHECKLIST</w:t>
      </w:r>
    </w:p>
    <w:p>
      <w:pPr>
        <w:spacing w:before="0" w:after="80"/>
      </w:pPr>
      <w:r>
        <w:rPr>
          <w:rFonts w:ascii="Hiragino Sans GB" w:hAnsi="Hiragino Sans GB" w:eastAsia="Hiragino Sans GB"/>
          <w:b/>
          <w:i w:val="0"/>
          <w:color w:val="17365D"/>
          <w:sz w:val="44"/>
        </w:rPr>
        <w:t>尼泊尔海鲜线上销售｜供应链启动配合清单</w:t>
      </w:r>
    </w:p>
    <w:p>
      <w:pPr>
        <w:spacing w:before="0" w:after="160"/>
      </w:pPr>
      <w:r>
        <w:rPr>
          <w:rFonts w:ascii="Hiragino Sans GB" w:hAnsi="Hiragino Sans GB" w:eastAsia="Hiragino Sans GB"/>
          <w:b w:val="0"/>
          <w:i w:val="0"/>
          <w:color w:val="5F6B76"/>
          <w:sz w:val="21"/>
        </w:rPr>
        <w:t>同时支持 B2B 与 B2C 的商品、冷链与平台启动交接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500"/>
        <w:gridCol w:w="3660"/>
        <w:gridCol w:w="1500"/>
        <w:gridCol w:w="3660"/>
      </w:tblGrid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6"/>
              </w:rPr>
              <w:t>版本</w:t>
            </w:r>
          </w:p>
        </w:tc>
        <w:tc>
          <w:tcPr>
            <w:tcW w:type="dxa" w:w="36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6"/>
              </w:rPr>
              <w:t>v1.0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6"/>
              </w:rPr>
              <w:t>日期</w:t>
            </w:r>
          </w:p>
        </w:tc>
        <w:tc>
          <w:tcPr>
            <w:tcW w:type="dxa" w:w="36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6"/>
              </w:rPr>
              <w:t>2026年8月5日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6"/>
              </w:rPr>
              <w:t>供应链公司</w:t>
            </w:r>
          </w:p>
        </w:tc>
        <w:tc>
          <w:tcPr>
            <w:tcW w:type="dxa" w:w="36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6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6"/>
              </w:rPr>
              <w:t>项目负责人</w:t>
            </w:r>
          </w:p>
        </w:tc>
        <w:tc>
          <w:tcPr>
            <w:tcW w:type="dxa" w:w="36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6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6"/>
              </w:rPr>
              <w:t>文件状态</w:t>
            </w:r>
          </w:p>
        </w:tc>
        <w:tc>
          <w:tcPr>
            <w:tcW w:type="dxa" w:w="36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6"/>
              </w:rPr>
              <w:t>待供应链填写并签字确认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6"/>
              </w:rPr>
              <w:t>资料基准</w:t>
            </w:r>
          </w:p>
        </w:tc>
        <w:tc>
          <w:tcPr>
            <w:tcW w:type="dxa" w:w="36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6"/>
              </w:rPr>
              <w:t>旧资料审阅至 2026-08-05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1. 文件目的与资料状态</w:t>
      </w:r>
    </w:p>
    <w:p>
      <w:pPr>
        <w:spacing w:after="100"/>
      </w:pPr>
      <w:r>
        <w:rPr>
          <w:rFonts w:ascii="Hiragino Sans GB" w:hAnsi="Hiragino Sans GB" w:eastAsia="Hiragino Sans GB"/>
          <w:b w:val="0"/>
          <w:i w:val="0"/>
          <w:color w:val="1F2937"/>
          <w:sz w:val="18"/>
        </w:rPr>
        <w:t>本文件用于一次性完成尼泊尔海鲜 B2B 与 B2C 启动前的真实商品、价格、每日库存、冷链、食品与进口资料、平台权限、收款、售后和负责人交接。供应链完成填写并提供对应证据后，我方即可开始商品审核、询价承接、上架与销售执行；任何未确认项不作为报价、库存或时效承诺。</w:t>
      </w: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320"/>
      </w:tblGrid>
      <w:tr>
        <w:tc>
          <w:tcPr>
            <w:tcW w:type="dxa" w:w="10320"/>
            <w:shd w:fill="FFF4D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旧资料审阅结论｜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已确认的是责任分工框架、需交付字段与启动闸门；真实供应链 SKU、价格、库存、账号、主体、证照、仓配承诺及负责人均未在现有资料中找到。公开市场价格和候选产品仅属研究参考，本文件不将其写成供应链报价或现货。</w:t>
            </w:r>
          </w:p>
        </w:tc>
      </w:tr>
    </w:tbl>
    <w:p>
      <w:pPr>
        <w:spacing w:after="40"/>
      </w:pP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500"/>
        <w:gridCol w:w="4200"/>
        <w:gridCol w:w="462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状态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本文件中的含义</w:t>
            </w:r>
          </w:p>
        </w:tc>
        <w:tc>
          <w:tcPr>
            <w:tcW w:type="dxa" w:w="46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处理方式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已确认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用户本次明确的项目职责边界，或旧资料明确记录的交付字段</w:t>
            </w:r>
          </w:p>
        </w:tc>
        <w:tc>
          <w:tcPr>
            <w:tcW w:type="dxa" w:w="46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可直接作为协作框架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旧资料提到但尚无责任方书面确认或后台证据</w:t>
            </w:r>
          </w:p>
        </w:tc>
        <w:tc>
          <w:tcPr>
            <w:tcW w:type="dxa" w:w="46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填写责任人、证据与日期后生效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未在现有资料中找到</w:t>
            </w:r>
          </w:p>
        </w:tc>
        <w:tc>
          <w:tcPr>
            <w:tcW w:type="dxa" w:w="4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旧资料没有真实值</w:t>
            </w:r>
          </w:p>
        </w:tc>
        <w:tc>
          <w:tcPr>
            <w:tcW w:type="dxa" w:w="46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由供应链填写，不得估算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2. 双方职责边界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4060"/>
        <w:gridCol w:w="40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责任方</w:t>
            </w:r>
          </w:p>
        </w:tc>
        <w:tc>
          <w:tcPr>
            <w:tcW w:type="dxa" w:w="40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负责</w:t>
            </w:r>
          </w:p>
        </w:tc>
        <w:tc>
          <w:tcPr>
            <w:tcW w:type="dxa" w:w="40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启动前交付/确认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我方（线上销售团队）</w:t>
            </w:r>
          </w:p>
        </w:tc>
        <w:tc>
          <w:tcPr>
            <w:tcW w:type="dxa" w:w="40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账号运营、内容发布、商品上架、客户沟通、订单转化、销售数据反馈</w:t>
            </w:r>
          </w:p>
        </w:tc>
        <w:tc>
          <w:tcPr>
            <w:tcW w:type="dxa" w:w="40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仅使用已批准的商品、价格、库存、素材、账号权限与售后规则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供应链/尼泊尔当地责任主体</w:t>
            </w:r>
          </w:p>
        </w:tc>
        <w:tc>
          <w:tcPr>
            <w:tcW w:type="dxa" w:w="40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合法进口与食品安全；真实商品、价格、库存；冷链仓储、配送、损耗与售后；当地销售、收款、退款、票据；平台主体认证与账号支持。</w:t>
            </w:r>
          </w:p>
        </w:tc>
        <w:tc>
          <w:tcPr>
            <w:tcW w:type="dxa" w:w="40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商品、价格、库存、资质、账号、收款、履约、售后、素材及负责人全部补齐并书面确认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3. 启动联系人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2100"/>
        <w:gridCol w:w="2220"/>
        <w:gridCol w:w="1550"/>
        <w:gridCol w:w="225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角色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姓名/电话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WhatsApp/邮箱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响应时限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备用负责人/备注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项目总负责人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商品与价格负责人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库存负责人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仓库与发货负责人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售后负责人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财务与结算负责人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账号与验证码负责人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紧急问题联系人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冷链仓库负责人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食品安全与质量负责人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每日价格库存更新负责人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餐厅/酒店大单负责人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4. 账号、平台与数字资产交接</w:t>
      </w: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DECEC"/>
          <w:left w:val="single" w:sz="0" w:space="0" w:color="FDECEC"/>
          <w:bottom w:val="single" w:sz="0" w:space="0" w:color="FDECEC"/>
          <w:right w:val="single" w:sz="0" w:space="0" w:color="FDECEC"/>
          <w:insideH w:val="single" w:sz="0" w:space="0" w:color="FDECEC"/>
          <w:insideV w:val="single" w:sz="0" w:space="0" w:color="FDECEC"/>
        </w:tblBorders>
      </w:tblPr>
      <w:tblGrid>
        <w:gridCol w:w="10320"/>
      </w:tblGrid>
      <w:tr>
        <w:tc>
          <w:tcPr>
            <w:tcW w:type="dxa" w:w="10320"/>
            <w:shd w:fill="FDECEC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安全要求｜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本 DOCX 只登记账号名称、网址、登录邮箱/手机号、权限和负责人；密码、验证码、备份码须通过双方约定的单独安全方式交接。不得将密码直接写入本文件。</w:t>
            </w:r>
          </w:p>
        </w:tc>
      </w:tr>
    </w:tbl>
    <w:p>
      <w:pPr>
        <w:spacing w:after="40"/>
      </w:pP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50"/>
        <w:gridCol w:w="1950"/>
        <w:gridCol w:w="1700"/>
        <w:gridCol w:w="1900"/>
        <w:gridCol w:w="1500"/>
        <w:gridCol w:w="1420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账号/资产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是否已有；名称/网址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归属主体；认证状态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我方权限；登录邮箱/手机号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2FA/支付负责人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完成日期；备注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TikTok 账号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TikTok Business Center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TikTok 广告账户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WhatsApp Business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Facebook Page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Meta Business Manager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Instagram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官方网站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域名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网站后台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企业邮箱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尼泊尔当地收款账户/支付方式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B2B 询价页面/表单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餐厅/酒店/批发商平台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未在现有资料中找到；待供应链填写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Alibaba International（候选）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待确认是否使用；旧资料未证明已开通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TradeKey（候选）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待确认是否使用；旧资料未证明已开通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IndiaMART（候选）</w:t>
            </w:r>
          </w:p>
        </w:tc>
        <w:tc>
          <w:tcPr>
            <w:tcW w:type="dxa" w:w="19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待确认是否使用；旧资料未证明已开通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4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</w:tbl>
    <w:p>
      <w:pPr>
        <w:spacing w:before="0" w:after="40"/>
      </w:pP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320"/>
      </w:tblGrid>
      <w:tr>
        <w:tc>
          <w:tcPr>
            <w:tcW w:type="dxa" w:w="10320"/>
            <w:shd w:fill="FFF4D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平台事实边界｜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现有资料未证明尼泊尔 TikTok Shop、商品挂载、站内支付或 TikTok 自助广告账户已开通；如拟使用，必须以真实后台截图、平台回执和当地责任方书面确认作为证据。</w:t>
            </w:r>
          </w:p>
        </w:tc>
      </w:tr>
    </w:tbl>
    <w:p>
      <w:pPr>
        <w:spacing w:after="40"/>
      </w:pPr>
    </w:p>
    <w:p>
      <w:pPr>
        <w:pStyle w:val="Heading1"/>
      </w:pPr>
      <w:r>
        <w:t>5. 海鲜商品单</w:t>
      </w: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320"/>
      </w:tblGrid>
      <w:tr>
        <w:tc>
          <w:tcPr>
            <w:tcW w:type="dxa" w:w="10320"/>
            <w:shd w:fill="FFF4D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事实边界｜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旧资料列出的巴沙鱼柳、虾、鱿鱼、三文鱼等仅为市场候选，不是已确认供应 SKU；本表必须由真实供应链按实物逐 SKU 填写。</w:t>
            </w:r>
          </w:p>
        </w:tc>
      </w:tr>
    </w:tbl>
    <w:p>
      <w:pPr>
        <w:spacing w:after="40"/>
      </w:pPr>
    </w:p>
    <w:p>
      <w:pPr>
        <w:pStyle w:val="Heading2"/>
      </w:pPr>
      <w:r>
        <w:t>5.1 商品身份、形态与规格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50"/>
        <w:gridCol w:w="1770"/>
        <w:gridCol w:w="1770"/>
        <w:gridCol w:w="1770"/>
        <w:gridCol w:w="3160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字段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SKU-1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SKU-2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SKU-3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填写说明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SKU 编号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唯一编号；旧资料无真实 SKU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中文名称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与包装/合同一致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英文名称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商品页/单证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尼泊尔市场使用名称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当地主体确认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海鲜品种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通用名/必要时科学名称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产品形态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整只/切块/鱼片/去壳/带壳等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状态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冷冻/冰鲜/活鲜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规格和大小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只数/重量区间/尺寸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单件重量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净重/毛重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每箱数量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件/箱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每箱净重/毛重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kg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产地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国家/地区/海域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捕捞或养殖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二选一；来源证明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净重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不含外包装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包冰率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%；检测口径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包装方式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内袋/外箱/真空等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5.2 储存、客户与供应状态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50"/>
        <w:gridCol w:w="1770"/>
        <w:gridCol w:w="1770"/>
        <w:gridCol w:w="1770"/>
        <w:gridCol w:w="3160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字段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SKU-1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SKU-2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SKU-3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填写说明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储存温度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按产品/批准文件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保质期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生产/到期日口径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解冻或处理方式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供应方批准版本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适合客户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餐厅/酒店/批发商/家庭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最小起订量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数量/重量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当前库存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可售/锁定/在途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补货周期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自然日/工作日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替代品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缺货时可替代 SKU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商品状态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可售/待确认/暂停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批次/追溯码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逐批次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过敏原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鱼/甲壳类/贝类等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备注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限制、差异、临期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6. 海鲜价格与结算表</w:t>
      </w: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320"/>
      </w:tblGrid>
      <w:tr>
        <w:tc>
          <w:tcPr>
            <w:tcW w:type="dxa" w:w="10320"/>
            <w:shd w:fill="FFF4D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价格边界｜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旧资料中的尼泊尔公开零售样本仅用于市场研究，不是本项目到仓成本、供应报价或建议零售价，本表不得复制研究价格。</w:t>
            </w:r>
          </w:p>
        </w:tc>
      </w:tr>
    </w:tbl>
    <w:p>
      <w:pPr>
        <w:spacing w:after="40"/>
      </w:pPr>
    </w:p>
    <w:p>
      <w:pPr>
        <w:pStyle w:val="Heading2"/>
      </w:pPr>
      <w:r>
        <w:t>6.1 价格、损耗与结算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850"/>
        <w:gridCol w:w="1770"/>
        <w:gridCol w:w="1770"/>
        <w:gridCol w:w="1770"/>
        <w:gridCol w:w="3160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字段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SKU-1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SKU-2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SKU-3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填写说明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SKU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与商品单一致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尼泊尔当地到仓成本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币种；构成口径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B2B 批发价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数量/重量条件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餐厅/酒店价格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账期/起订量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经销商价格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适用条件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B2C 零售价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包装/重量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阶梯价格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不同重量或数量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最小起订量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与商品单一致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样品价格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数量/费用承担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冷链配送费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地区/重量规则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包装费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保温材料等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是否含税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税种/票据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损耗承担方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场景/上限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实际称重误差范围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+/-；处理方式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价格有效期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起止时间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更新频率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每日/每周及时间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我方利润/佣金/分成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金额或比例；口径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结算周期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对账/付款日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备注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31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例外与审批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每日库存与价格更新机制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100"/>
        <w:gridCol w:w="3150"/>
        <w:gridCol w:w="2300"/>
        <w:gridCol w:w="277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配置项</w:t>
            </w:r>
          </w:p>
        </w:tc>
        <w:tc>
          <w:tcPr>
            <w:tcW w:type="dxa" w:w="31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供应链填写</w:t>
            </w:r>
          </w:p>
        </w:tc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责任人</w:t>
            </w:r>
          </w:p>
        </w:tc>
        <w:tc>
          <w:tcPr>
            <w:tcW w:type="dxa" w:w="2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未完成时规则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每日更新时间</w:t>
            </w:r>
          </w:p>
        </w:tc>
        <w:tc>
          <w:tcPr>
            <w:tcW w:type="dxa" w:w="31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每日价格库存更新负责人</w:t>
            </w:r>
          </w:p>
        </w:tc>
        <w:tc>
          <w:tcPr>
            <w:tcW w:type="dxa" w:w="2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超时则暂停新增报价/销售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更新渠道</w:t>
            </w:r>
          </w:p>
        </w:tc>
        <w:tc>
          <w:tcPr>
            <w:tcW w:type="dxa" w:w="31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待确认（表格/系统/群）</w:t>
            </w:r>
          </w:p>
        </w:tc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2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口头消息不作为最终版本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库存锁定规则</w:t>
            </w:r>
          </w:p>
        </w:tc>
        <w:tc>
          <w:tcPr>
            <w:tcW w:type="dxa" w:w="31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库存/订单负责人</w:t>
            </w:r>
          </w:p>
        </w:tc>
        <w:tc>
          <w:tcPr>
            <w:tcW w:type="dxa" w:w="2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未锁定不得确认订单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已下单未付款价格规则</w:t>
            </w:r>
          </w:p>
        </w:tc>
        <w:tc>
          <w:tcPr>
            <w:tcW w:type="dxa" w:w="31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财务/商务负责人</w:t>
            </w:r>
          </w:p>
        </w:tc>
        <w:tc>
          <w:tcPr>
            <w:tcW w:type="dxa" w:w="2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不自动保价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临时涨降价通知</w:t>
            </w:r>
          </w:p>
        </w:tc>
        <w:tc>
          <w:tcPr>
            <w:tcW w:type="dxa" w:w="31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待确认时限与方式</w:t>
            </w:r>
          </w:p>
        </w:tc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商务负责人</w:t>
            </w:r>
          </w:p>
        </w:tc>
        <w:tc>
          <w:tcPr>
            <w:tcW w:type="dxa" w:w="2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旧价立即停用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超时未更新</w:t>
            </w:r>
          </w:p>
        </w:tc>
        <w:tc>
          <w:tcPr>
            <w:tcW w:type="dxa" w:w="31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默认暂停销售（待双方确认）</w:t>
            </w:r>
          </w:p>
        </w:tc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项目总负责人</w:t>
            </w:r>
          </w:p>
        </w:tc>
        <w:tc>
          <w:tcPr>
            <w:tcW w:type="dxa" w:w="277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不得沿用过期库存/价格</w:t>
            </w:r>
          </w:p>
        </w:tc>
      </w:tr>
    </w:tbl>
    <w:p>
      <w:pPr>
        <w:spacing w:before="0" w:after="40"/>
      </w:pP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930"/>
        <w:gridCol w:w="900"/>
        <w:gridCol w:w="1050"/>
        <w:gridCol w:w="800"/>
        <w:gridCol w:w="800"/>
        <w:gridCol w:w="1100"/>
        <w:gridCol w:w="850"/>
        <w:gridCol w:w="850"/>
        <w:gridCol w:w="1550"/>
        <w:gridCol w:w="1490"/>
      </w:tblGrid>
      <w:tr>
        <w:trPr>
          <w:cantSplit/>
          <w:tblHeader w:val="true"/>
        </w:trPr>
        <w:tc>
          <w:tcPr>
            <w:tcW w:type="dxa" w:w="9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日期/时间</w:t>
            </w:r>
          </w:p>
        </w:tc>
        <w:tc>
          <w:tcPr>
            <w:tcW w:type="dxa" w:w="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SKU</w:t>
            </w:r>
          </w:p>
        </w:tc>
        <w:tc>
          <w:tcPr>
            <w:tcW w:type="dxa" w:w="1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今日价格</w:t>
            </w:r>
          </w:p>
        </w:tc>
        <w:tc>
          <w:tcPr>
            <w:tcW w:type="dxa" w:w="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可售</w:t>
            </w:r>
          </w:p>
        </w:tc>
        <w:tc>
          <w:tcPr>
            <w:tcW w:type="dxa" w:w="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锁定</w:t>
            </w:r>
          </w:p>
        </w:tc>
        <w:tc>
          <w:tcPr>
            <w:tcW w:type="dxa" w:w="1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预计到货</w:t>
            </w:r>
          </w:p>
        </w:tc>
        <w:tc>
          <w:tcPr>
            <w:tcW w:type="dxa" w:w="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临期</w:t>
            </w:r>
          </w:p>
        </w:tc>
        <w:tc>
          <w:tcPr>
            <w:tcW w:type="dxa" w:w="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暂停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缺货替代</w:t>
            </w:r>
          </w:p>
        </w:tc>
        <w:tc>
          <w:tcPr>
            <w:tcW w:type="dxa" w:w="149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更新人</w:t>
            </w:r>
          </w:p>
        </w:tc>
      </w:tr>
      <w:tr>
        <w:trPr>
          <w:cantSplit/>
        </w:trPr>
        <w:tc>
          <w:tcPr>
            <w:tcW w:type="dxa" w:w="9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1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1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149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</w:tr>
      <w:tr>
        <w:trPr>
          <w:cantSplit/>
        </w:trPr>
        <w:tc>
          <w:tcPr>
            <w:tcW w:type="dxa" w:w="9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1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1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149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</w:tr>
      <w:tr>
        <w:trPr>
          <w:cantSplit/>
        </w:trPr>
        <w:tc>
          <w:tcPr>
            <w:tcW w:type="dxa" w:w="9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10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8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1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8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15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  <w:tc>
          <w:tcPr>
            <w:tcW w:type="dxa" w:w="149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待填写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8. 食品、进口与追溯资料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1600"/>
        <w:gridCol w:w="1900"/>
        <w:gridCol w:w="1700"/>
        <w:gridCol w:w="1400"/>
        <w:gridCol w:w="152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资料/确认项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是否提供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文件名/有效期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适用SKU/批次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负责人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3"/>
              </w:rPr>
              <w:t>缺口/补齐日期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中国出口资料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尼泊尔进口主体与许可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食品经营资质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检验检疫资料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原产地/来源证明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批次与追溯信息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产品标签及当地语言要求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冷链文件与温控记录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食品安全责任主体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产品召回机制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当地销售和配送条件书面确认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未在现有资料中找到</w:t>
            </w:r>
          </w:p>
        </w:tc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  <w:tc>
          <w:tcPr>
            <w:tcW w:type="dxa" w:w="14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待供应链填写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3"/>
              </w:rPr>
              <w:t>待确认</w:t>
            </w:r>
          </w:p>
        </w:tc>
      </w:tr>
    </w:tbl>
    <w:p>
      <w:pPr>
        <w:spacing w:before="0" w:after="40"/>
      </w:pP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FF4D6"/>
          <w:left w:val="single" w:sz="0" w:space="0" w:color="FFF4D6"/>
          <w:bottom w:val="single" w:sz="0" w:space="0" w:color="FFF4D6"/>
          <w:right w:val="single" w:sz="0" w:space="0" w:color="FFF4D6"/>
          <w:insideH w:val="single" w:sz="0" w:space="0" w:color="FFF4D6"/>
          <w:insideV w:val="single" w:sz="0" w:space="0" w:color="FFF4D6"/>
        </w:tblBorders>
      </w:tblPr>
      <w:tblGrid>
        <w:gridCol w:w="10320"/>
      </w:tblGrid>
      <w:tr>
        <w:tc>
          <w:tcPr>
            <w:tcW w:type="dxa" w:w="10320"/>
            <w:shd w:fill="FFF4D6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合规声明｜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逐 SKU 的海关编码、税费、许可、标签语言、检验检疫与温控阈值须由尼泊尔进口主体/当地专业责任方书面确认；本清单不替代其结论。</w:t>
            </w:r>
          </w:p>
        </w:tc>
      </w:tr>
    </w:tbl>
    <w:p>
      <w:pPr>
        <w:spacing w:after="40"/>
      </w:pPr>
    </w:p>
    <w:p>
      <w:pPr>
        <w:pStyle w:val="Heading1"/>
      </w:pPr>
      <w:r>
        <w:t>9. 图片、视频及商品素材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2700"/>
        <w:gridCol w:w="1650"/>
        <w:gridCol w:w="2210"/>
        <w:gridCol w:w="18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素材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是否提供/文件位置</w:t>
            </w:r>
          </w:p>
        </w:tc>
        <w:tc>
          <w:tcPr>
            <w:tcW w:type="dxa" w:w="16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适用SKU</w:t>
            </w:r>
          </w:p>
        </w:tc>
        <w:tc>
          <w:tcPr>
            <w:tcW w:type="dxa" w:w="221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使用/审批限制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负责人/日期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白底图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6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1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实物图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6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1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包装图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6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1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规格对比图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6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1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解冻前后图片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6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1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烹饪效果图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6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1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产地/加工素材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6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1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冷链仓库/配送素材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6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1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允许使用的质量/新鲜度表述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6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1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禁用或需审批表述</w:t>
            </w:r>
          </w:p>
        </w:tc>
        <w:tc>
          <w:tcPr>
            <w:tcW w:type="dxa" w:w="2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65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221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  <w:tc>
          <w:tcPr>
            <w:tcW w:type="dxa" w:w="186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10. 冷链、配送、质量与售后规则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300"/>
        <w:gridCol w:w="3300"/>
        <w:gridCol w:w="1700"/>
        <w:gridCol w:w="1500"/>
        <w:gridCol w:w="152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事项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供应链正式规则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责任方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证据/附件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4"/>
              </w:rPr>
              <w:t>状态/生效日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仓库位置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冷冻/冷藏条件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可配送城市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配送时效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包装保温时长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配送车辆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断冷或延误处理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顾客签收标准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变质/融化/破损认定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拍照/视频取证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退款/补发及责任方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餐厅大单预约时间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临期折扣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损耗承担规则</w:t>
            </w:r>
          </w:p>
        </w:tc>
        <w:tc>
          <w:tcPr>
            <w:tcW w:type="dxa" w:w="33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7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待供应链填写</w:t>
            </w:r>
          </w:p>
        </w:tc>
        <w:tc>
          <w:tcPr>
            <w:tcW w:type="dxa" w:w="15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待提供</w:t>
            </w:r>
          </w:p>
        </w:tc>
        <w:tc>
          <w:tcPr>
            <w:tcW w:type="dxa" w:w="15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4"/>
              </w:rPr>
              <w:t>待确认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11. 正式启动确认</w:t>
      </w: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600"/>
        <w:gridCol w:w="1600"/>
        <w:gridCol w:w="2900"/>
        <w:gridCol w:w="2220"/>
      </w:tblGrid>
      <w:tr>
        <w:trPr>
          <w:cantSplit/>
          <w:tblHeader w:val="true"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启动项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状态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完成证据/文件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责任人/日期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商品单完成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价格表完成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每日库存机制确定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资质与逐SKU资料完成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冷链仓库确认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配送范围确认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质量与售后规则确认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TikTok 权限完成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WhatsApp Business 权限完成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网站/其他平台权限完成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收款和结算确认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首批 B2B 商品确认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首批 B2C 商品确认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☐ 可以正式开始线上销售</w:t>
            </w:r>
          </w:p>
        </w:tc>
        <w:tc>
          <w:tcPr>
            <w:tcW w:type="dxa" w:w="16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待确认</w:t>
            </w:r>
          </w:p>
        </w:tc>
        <w:tc>
          <w:tcPr>
            <w:tcW w:type="dxa" w:w="29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待提供</w:t>
            </w:r>
          </w:p>
        </w:tc>
        <w:tc>
          <w:tcPr>
            <w:tcW w:type="dxa" w:w="22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待供应链填写</w:t>
            </w:r>
          </w:p>
        </w:tc>
      </w:tr>
    </w:tbl>
    <w:p>
      <w:pPr>
        <w:spacing w:before="0" w:after="40"/>
      </w:pPr>
    </w:p>
    <w:tbl>
      <w:tblPr>
        <w:tblW w:type="dxa" w:w="10320"/>
        <w:tblLayout w:type="fixed"/>
        <w:tblLook w:firstColumn="1" w:firstRow="1" w:lastColumn="0" w:lastRow="0" w:noHBand="0" w:noVBand="1" w:val="04A0"/>
        <w:tblInd w:w="95" w:type="dxa"/>
        <w:tblBorders>
          <w:top w:val="single" w:sz="0" w:space="0" w:color="FDECEC"/>
          <w:left w:val="single" w:sz="0" w:space="0" w:color="FDECEC"/>
          <w:bottom w:val="single" w:sz="0" w:space="0" w:color="FDECEC"/>
          <w:right w:val="single" w:sz="0" w:space="0" w:color="FDECEC"/>
          <w:insideH w:val="single" w:sz="0" w:space="0" w:color="FDECEC"/>
          <w:insideV w:val="single" w:sz="0" w:space="0" w:color="FDECEC"/>
        </w:tblBorders>
      </w:tblPr>
      <w:tblGrid>
        <w:gridCol w:w="10320"/>
      </w:tblGrid>
      <w:tr>
        <w:tc>
          <w:tcPr>
            <w:tcW w:type="dxa" w:w="10320"/>
            <w:shd w:fill="FDECEC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7"/>
              </w:rPr>
              <w:t>启动判定｜</w:t>
            </w: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只有最后一项由供应链、尼泊尔当地责任主体和我方共同签字确认后，才表示进入正式线上销售；文件生成或资料上传本身不等于合法可售、平台可用或履约已验证。</w:t>
            </w:r>
          </w:p>
        </w:tc>
      </w:tr>
    </w:tbl>
    <w:p>
      <w:pPr>
        <w:spacing w:after="40"/>
      </w:pPr>
    </w:p>
    <w:tbl>
      <w:tblPr>
        <w:tblW w:type="dxa" w:w="10320"/>
        <w:jc w:val="left"/>
        <w:tblLayout w:type="fixed"/>
        <w:tblLook w:firstColumn="1" w:firstRow="1" w:lastColumn="0" w:lastRow="0" w:noHBand="0" w:noVBand="1" w:val="04A0"/>
        <w:tblInd w:w="95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200"/>
        <w:gridCol w:w="2200"/>
        <w:gridCol w:w="2000"/>
        <w:gridCol w:w="2100"/>
        <w:gridCol w:w="182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确认方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公司名称</w:t>
            </w:r>
          </w:p>
        </w:tc>
        <w:tc>
          <w:tcPr>
            <w:tcW w:type="dxa" w:w="2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负责人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签字/盖章</w:t>
            </w:r>
          </w:p>
        </w:tc>
        <w:tc>
          <w:tcPr>
            <w:tcW w:type="dxa" w:w="18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5"/>
              </w:rPr>
              <w:t>日期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我方线上销售团队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待填写</w:t>
            </w:r>
          </w:p>
        </w:tc>
        <w:tc>
          <w:tcPr>
            <w:tcW w:type="dxa" w:w="2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待填写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</w:r>
          </w:p>
        </w:tc>
        <w:tc>
          <w:tcPr>
            <w:tcW w:type="dxa" w:w="18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产品与履约供应链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待填写</w:t>
            </w:r>
          </w:p>
        </w:tc>
        <w:tc>
          <w:tcPr>
            <w:tcW w:type="dxa" w:w="2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待填写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</w:r>
          </w:p>
        </w:tc>
        <w:tc>
          <w:tcPr>
            <w:tcW w:type="dxa" w:w="18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尼泊尔当地责任主体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待填写</w:t>
            </w:r>
          </w:p>
        </w:tc>
        <w:tc>
          <w:tcPr>
            <w:tcW w:type="dxa" w:w="20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  <w:t>待填写</w:t>
            </w:r>
          </w:p>
        </w:tc>
        <w:tc>
          <w:tcPr>
            <w:tcW w:type="dxa" w:w="21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</w:r>
          </w:p>
        </w:tc>
        <w:tc>
          <w:tcPr>
            <w:tcW w:type="dxa" w:w="18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5"/>
              </w:rPr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92" w:right="792" w:bottom="792" w:left="792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i w:val="0"/>
        <w:color w:val="5F6B76"/>
        <w:sz w:val="16"/>
      </w:rPr>
      <w:t xml:space="preserve">供应链启动交接文件｜内部协作使用     </w:t>
    </w:r>
    <w:r>
      <w:rPr>
        <w:rFonts w:ascii="Hiragino Sans GB" w:hAnsi="Hiragino Sans GB" w:eastAsia="Hiragino Sans GB"/>
        <w:b w:val="0"/>
        <w:i w:val="0"/>
        <w:color w:val="5F6B76"/>
        <w:sz w:val="16"/>
      </w:rPr>
      <w:t xml:space="preserve">第 </w:t>
    </w:r>
    <w:fldSimple w:instr="PAGE">
      <w:r>
        <w:t>1</w:t>
      </w:r>
    </w:fldSimple>
    <w:r>
      <w:rPr>
        <w:rFonts w:ascii="Hiragino Sans GB" w:hAnsi="Hiragino Sans GB" w:eastAsia="Hiragino Sans GB"/>
        <w:b w:val="0"/>
        <w:i w:val="0"/>
        <w:color w:val="5F6B7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Hiragino Sans GB" w:hAnsi="Hiragino Sans GB" w:eastAsia="Hiragino Sans GB"/>
        <w:b w:val="0"/>
        <w:i w:val="0"/>
        <w:color w:val="5F6B76"/>
        <w:sz w:val="15"/>
      </w:rPr>
      <w:t>供应链启动交接文件  |  尼泊尔海鲜线上销售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Hiragino Sans GB" w:hAnsi="Hiragino Sans GB" w:eastAsia="Hiragino Sans GB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尼泊尔海鲜线上销售</dc:title>
  <dc:subject>供应链启动配合清单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