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Hiragino Sans GB" w:hAnsi="Hiragino Sans GB" w:eastAsia="Hiragino Sans GB"/>
          <w:b/>
          <w:i w:val="0"/>
          <w:color w:val="2E74B5"/>
          <w:sz w:val="17"/>
        </w:rPr>
        <w:t>SUPPLY CHAIN STARTUP CHECKLIST</w:t>
      </w:r>
    </w:p>
    <w:p>
      <w:pPr>
        <w:spacing w:before="0" w:after="80"/>
      </w:pPr>
      <w:r>
        <w:rPr>
          <w:rFonts w:ascii="Hiragino Sans GB" w:hAnsi="Hiragino Sans GB" w:eastAsia="Hiragino Sans GB"/>
          <w:b/>
          <w:i w:val="0"/>
          <w:color w:val="17365D"/>
          <w:sz w:val="44"/>
        </w:rPr>
        <w:t>汾酒尼泊尔线上销售｜供应链启动配合清单</w:t>
      </w:r>
    </w:p>
    <w:p>
      <w:pPr>
        <w:spacing w:before="0" w:after="160"/>
      </w:pPr>
      <w:r>
        <w:rPr>
          <w:rFonts w:ascii="Hiragino Sans GB" w:hAnsi="Hiragino Sans GB" w:eastAsia="Hiragino Sans GB"/>
          <w:b w:val="0"/>
          <w:i w:val="0"/>
          <w:color w:val="5F6B76"/>
          <w:sz w:val="21"/>
        </w:rPr>
        <w:t>供应链填完即可进入上架、接单与销售启动复核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00"/>
        <w:gridCol w:w="3660"/>
        <w:gridCol w:w="1500"/>
        <w:gridCol w:w="3660"/>
      </w:tblGrid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版本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v1.0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日期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2026年8月5日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供应链公司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项目负责人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文件状态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待供应链填写并签字确认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资料基准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旧资料审阅至 2026-08-05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1. 文件目的与资料状态</w:t>
      </w:r>
    </w:p>
    <w:p>
      <w:pPr>
        <w:spacing w:after="100"/>
      </w:pPr>
      <w:r>
        <w:rPr>
          <w:rFonts w:ascii="Hiragino Sans GB" w:hAnsi="Hiragino Sans GB" w:eastAsia="Hiragino Sans GB"/>
          <w:b w:val="0"/>
          <w:i w:val="0"/>
          <w:color w:val="1F2937"/>
          <w:sz w:val="18"/>
        </w:rPr>
        <w:t>本文件用于一次性完成汾酒线上销售启动前的商品、价格、库存、账号权限、资质、收款、仓储配送、售后和负责人交接。供应链完成填写并提供对应证据后，我方即可开始商品资料审核、上架准备、客户沟通和销售执行；任何未确认项不作为销售承诺。</w:t>
      </w: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320"/>
      </w:tblGrid>
      <w:tr>
        <w:tc>
          <w:tcPr>
            <w:tcW w:type="dxa" w:w="10320"/>
            <w:shd w:fill="FFF4D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旧资料审阅结论｜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已确认的是责任分工框架、需交付字段与启动闸门；真实供应链 SKU、价格、库存、账号、主体、证照、仓配承诺及负责人均未在现有资料中找到。公开市场价格和候选产品仅属研究参考，本文件不将其写成供应链报价或现货。</w:t>
            </w:r>
          </w:p>
        </w:tc>
      </w:tr>
    </w:tbl>
    <w:p>
      <w:pPr>
        <w:spacing w:after="40"/>
      </w:pP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00"/>
        <w:gridCol w:w="4200"/>
        <w:gridCol w:w="462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状态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本文件中的含义</w:t>
            </w:r>
          </w:p>
        </w:tc>
        <w:tc>
          <w:tcPr>
            <w:tcW w:type="dxa" w:w="46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处理方式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已确认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用户本次明确的项目职责边界，或旧资料明确记录的交付字段</w:t>
            </w:r>
          </w:p>
        </w:tc>
        <w:tc>
          <w:tcPr>
            <w:tcW w:type="dxa" w:w="46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可直接作为协作框架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旧资料提到但尚无责任方书面确认或后台证据</w:t>
            </w:r>
          </w:p>
        </w:tc>
        <w:tc>
          <w:tcPr>
            <w:tcW w:type="dxa" w:w="46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填写责任人、证据与日期后生效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未在现有资料中找到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旧资料没有真实值</w:t>
            </w:r>
          </w:p>
        </w:tc>
        <w:tc>
          <w:tcPr>
            <w:tcW w:type="dxa" w:w="46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由供应链填写，不得估算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2. 双方职责边界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4060"/>
        <w:gridCol w:w="40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责任方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负责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启动前交付/确认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我方（线上销售团队）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账号运营、内容发布、商品上架、客户沟通、订单转化、销售数据反馈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仅使用已批准的商品、价格、库存、素材、账号权限与售后规则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供应链/尼泊尔当地责任主体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合法可售；真实商品、价格、库存与品牌授权；当地公司主体、许可、收款、仓储配送、售后；平台主体认证与账号支持。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商品、价格、库存、资质、账号、收款、履约、售后、素材及负责人全部补齐并书面确认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3. 启动联系人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2100"/>
        <w:gridCol w:w="2220"/>
        <w:gridCol w:w="1550"/>
        <w:gridCol w:w="225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角色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姓名/电话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WhatsApp/邮箱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响应时限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备用负责人/备注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项目总负责人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商品与价格负责人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库存负责人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仓库与发货负责人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售后负责人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财务与结算负责人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账号与验证码负责人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紧急问题联系人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4. 账号、平台与数字资产交接</w:t>
      </w: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  <w:insideH w:val="single" w:sz="0" w:space="0" w:color="FDECEC"/>
          <w:insideV w:val="single" w:sz="0" w:space="0" w:color="FDECEC"/>
        </w:tblBorders>
      </w:tblPr>
      <w:tblGrid>
        <w:gridCol w:w="10320"/>
      </w:tblGrid>
      <w:tr>
        <w:tc>
          <w:tcPr>
            <w:tcW w:type="dxa" w:w="10320"/>
            <w:shd w:fill="FDECEC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安全要求｜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本 DOCX 只登记账号名称、网址、登录邮箱/手机号、权限和负责人；密码、验证码、备份码须通过双方约定的单独安全方式交接。不得将密码直接写入本文件。</w:t>
            </w:r>
          </w:p>
        </w:tc>
      </w:tr>
    </w:tbl>
    <w:p>
      <w:pPr>
        <w:spacing w:after="40"/>
      </w:pP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50"/>
        <w:gridCol w:w="1950"/>
        <w:gridCol w:w="1700"/>
        <w:gridCol w:w="1900"/>
        <w:gridCol w:w="1500"/>
        <w:gridCol w:w="142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账号/资产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是否已有；名称/网址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归属主体；认证状态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我方权限；登录邮箱/手机号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2FA/支付负责人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完成日期；备注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TikTok 账号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TikTok Business Center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TikTok 广告账户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WhatsApp Business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Facebook Page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Meta Business Manager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Instagram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官方网站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域名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网站后台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企业邮箱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尼泊尔当地收款账户/支付方式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其他尼泊尔当地销售网站/商城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</w:tbl>
    <w:p>
      <w:pPr>
        <w:spacing w:before="0" w:after="40"/>
      </w:pP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320"/>
      </w:tblGrid>
      <w:tr>
        <w:tc>
          <w:tcPr>
            <w:tcW w:type="dxa" w:w="10320"/>
            <w:shd w:fill="FFF4D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平台事实边界｜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现有资料未证明尼泊尔 TikTok Shop、商品挂载、站内支付或 TikTok 自助广告账户已开通；如拟使用，必须以真实后台截图、平台回执和当地责任方书面确认作为证据。</w:t>
            </w:r>
          </w:p>
        </w:tc>
      </w:tr>
    </w:tbl>
    <w:p>
      <w:pPr>
        <w:spacing w:after="40"/>
      </w:pPr>
    </w:p>
    <w:p>
      <w:pPr>
        <w:pStyle w:val="Heading1"/>
      </w:pPr>
      <w:r>
        <w:t>5. 汾酒商品单</w:t>
      </w: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320"/>
      </w:tblGrid>
      <w:tr>
        <w:tc>
          <w:tcPr>
            <w:tcW w:type="dxa" w:w="10320"/>
            <w:shd w:fill="FFF4D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填写规则｜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一列对应一个真实 SKU。首批超过 3 个 SKU 时复制 SKU 列；任何值必须与实物包装、合同、批次和批准文件一致。</w:t>
            </w:r>
          </w:p>
        </w:tc>
      </w:tr>
    </w:tbl>
    <w:p>
      <w:pPr>
        <w:spacing w:after="40"/>
      </w:pPr>
    </w:p>
    <w:p>
      <w:pPr>
        <w:pStyle w:val="Heading2"/>
      </w:pPr>
      <w:r>
        <w:t>5.1 商品身份与规格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50"/>
        <w:gridCol w:w="1770"/>
        <w:gridCol w:w="1770"/>
        <w:gridCol w:w="1770"/>
        <w:gridCol w:w="316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字段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SKU-1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SKU-2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SKU-3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填写说明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SKU 编号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唯一编号；旧资料无真实 SKU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中文名称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与包装/合同一致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英文名称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用于商品页和单证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尼泊尔市场使用名称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由当地主体确认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系列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品牌正式系列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酒精度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按标签填写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单瓶容量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ml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每箱瓶数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瓶/箱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包装类型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单瓶/礼盒/整箱等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单瓶尺寸和重量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长×宽×高；净/毛重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整箱尺寸和重量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长×宽×高；净/毛重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条形码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单品/外箱分别注明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保质或储存说明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按标签和批准资料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礼盒情况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有/无；型号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是否可拆箱销售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是/否；条件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5.2 供应与销售状态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50"/>
        <w:gridCol w:w="1770"/>
        <w:gridCol w:w="1770"/>
        <w:gridCol w:w="1770"/>
        <w:gridCol w:w="316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字段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SKU-1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SKU-2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SKU-3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填写说明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最小起订量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瓶/箱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当前库存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可售/锁定/在途分开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补货周期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自然日/工作日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商品状态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可售/待确认/暂停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进口批次/有效期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适用批次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可配送范围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与履约表一致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备注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差异、限制、替代品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6. 汾酒价格与结算表</w:t>
      </w: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320"/>
      </w:tblGrid>
      <w:tr>
        <w:tc>
          <w:tcPr>
            <w:tcW w:type="dxa" w:w="10320"/>
            <w:shd w:fill="FFF4D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价格边界｜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旧资料无真实供应报价。本表不得填写公开市场调研样本或估算值；币种、含税口径、配送费和有效期必须同时注明。</w:t>
            </w:r>
          </w:p>
        </w:tc>
      </w:tr>
    </w:tbl>
    <w:p>
      <w:pPr>
        <w:spacing w:after="40"/>
      </w:pPr>
    </w:p>
    <w:p>
      <w:pPr>
        <w:pStyle w:val="Heading2"/>
      </w:pPr>
      <w:r>
        <w:t>6.1 价格、费用与政策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50"/>
        <w:gridCol w:w="1770"/>
        <w:gridCol w:w="1770"/>
        <w:gridCol w:w="1770"/>
        <w:gridCol w:w="316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字段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SKU-1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SKU-2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SKU-3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填写说明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SKU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与商品单一致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尼泊尔当地可销售成本价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币种；构成口径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1 箱价格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币种；含税/未税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5 箱价格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阶梯价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10 箱价格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阶梯价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经销商价格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适用条件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B2C 建议零售价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币种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最低允许销售价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审批底线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活动最低价格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活动/期限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样品价格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样品合规另确认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配送费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地区/订单金额规则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是否含税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税种/票据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我方利润/佣金/分成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金额或比例；计算口径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结算周期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日/周/月；对账日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价格有效期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起止日期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报价负责人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姓名/联系方式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来源与复核状态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文件名；仍需谁确认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备注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例外与审批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资质、授权与合规资料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00"/>
        <w:gridCol w:w="1700"/>
        <w:gridCol w:w="1900"/>
        <w:gridCol w:w="1300"/>
        <w:gridCol w:w="1400"/>
        <w:gridCol w:w="152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资料/确认项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是否提供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文件名/有效期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适用范围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负责人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缺口/补齐日期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尼泊尔进口主体资料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酒类进口及销售许可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汾酒品牌授权/经销授权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海关与税务资料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产品标签与批次照片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尼泊尔当地语言标签要求确认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年龄限制与验龄要求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可配送/限制配送地区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发票或销售凭证规则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线上宣传与酒类广告限制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线上销售、收款和配送条件书面确认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</w:tbl>
    <w:p>
      <w:pPr>
        <w:spacing w:before="0" w:after="40"/>
      </w:pP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320"/>
      </w:tblGrid>
      <w:tr>
        <w:tc>
          <w:tcPr>
            <w:tcW w:type="dxa" w:w="10320"/>
            <w:shd w:fill="FFF4D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合规声明｜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本清单不替供应链作法律保证。供应链须提供文件并书面确认适用范围；我方仅在资料和平台能力通过后执行对应线上动作。</w:t>
            </w:r>
          </w:p>
        </w:tc>
      </w:tr>
    </w:tbl>
    <w:p>
      <w:pPr>
        <w:spacing w:after="40"/>
      </w:pPr>
    </w:p>
    <w:p>
      <w:pPr>
        <w:pStyle w:val="Heading1"/>
      </w:pPr>
      <w:r>
        <w:t>8. 图片、视频与品牌素材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2760"/>
        <w:gridCol w:w="1750"/>
        <w:gridCol w:w="2050"/>
        <w:gridCol w:w="1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素材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是否提供/文件位置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使用范围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需审批/禁用项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负责人/日期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白底图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正反面图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标签图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单瓶图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整箱图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礼盒图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品牌 Logo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官方品牌介绍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酒厂/生产素材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官方视频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可用于 TikTok 的素材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禁用表达清单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需品牌审批的内容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是否允许我方二次制作</w:t>
            </w:r>
          </w:p>
        </w:tc>
        <w:tc>
          <w:tcPr>
            <w:tcW w:type="dxa" w:w="27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9. 仓储、发货与售后规则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00"/>
        <w:gridCol w:w="3300"/>
        <w:gridCol w:w="1700"/>
        <w:gridCol w:w="1500"/>
        <w:gridCol w:w="152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事项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供应链正式规则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责任方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证据/附件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状态/生效日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仓库地址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可配送地区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下单截止时间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当日发货条件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加德满都配送时效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其他地区时效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配送费规则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破损/漏液/错发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拒收/退货/退款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缺货通知时限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售后取证要求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责任承担方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紧急响应时限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10. 正式启动确认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1600"/>
        <w:gridCol w:w="2900"/>
        <w:gridCol w:w="2220"/>
      </w:tblGrid>
      <w:tr>
        <w:trPr>
          <w:cantSplit/>
          <w:tblHeader w:val="true"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启动项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状态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完成证据/文件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责任人/日期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商品单完成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价格表完成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库存确认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资质提供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TikTok 权限完成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WhatsApp Business 完成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网站/其他平台完成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收款方式确认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利润/佣金确认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发货负责人确认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售后负责人确认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首批上架 SKU 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可以正式开始线上销售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</w:tbl>
    <w:p>
      <w:pPr>
        <w:spacing w:before="0" w:after="40"/>
      </w:pP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  <w:insideH w:val="single" w:sz="0" w:space="0" w:color="FDECEC"/>
          <w:insideV w:val="single" w:sz="0" w:space="0" w:color="FDECEC"/>
        </w:tblBorders>
      </w:tblPr>
      <w:tblGrid>
        <w:gridCol w:w="10320"/>
      </w:tblGrid>
      <w:tr>
        <w:tc>
          <w:tcPr>
            <w:tcW w:type="dxa" w:w="10320"/>
            <w:shd w:fill="FDECEC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启动判定｜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只有最后一项由供应链、尼泊尔当地责任主体和我方共同签字确认后，才表示进入正式线上销售；文件生成或资料上传本身不等于合法可售、平台可用或履约已验证。</w:t>
            </w:r>
          </w:p>
        </w:tc>
      </w:tr>
    </w:tbl>
    <w:p>
      <w:pPr>
        <w:spacing w:after="40"/>
      </w:pP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2200"/>
        <w:gridCol w:w="2000"/>
        <w:gridCol w:w="2100"/>
        <w:gridCol w:w="182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确认方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公司名称</w:t>
            </w:r>
          </w:p>
        </w:tc>
        <w:tc>
          <w:tcPr>
            <w:tcW w:type="dxa" w:w="2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签字/盖章</w:t>
            </w:r>
          </w:p>
        </w:tc>
        <w:tc>
          <w:tcPr>
            <w:tcW w:type="dxa" w:w="18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日期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我方线上销售团队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  <w:tc>
          <w:tcPr>
            <w:tcW w:type="dxa" w:w="18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产品与履约供应链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  <w:tc>
          <w:tcPr>
            <w:tcW w:type="dxa" w:w="18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尼泊尔当地责任主体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  <w:tc>
          <w:tcPr>
            <w:tcW w:type="dxa" w:w="18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92" w:right="792" w:bottom="792" w:left="792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i w:val="0"/>
        <w:color w:val="5F6B76"/>
        <w:sz w:val="16"/>
      </w:rPr>
      <w:t xml:space="preserve">供应链启动交接文件｜内部协作使用     </w:t>
    </w:r>
    <w:r>
      <w:rPr>
        <w:rFonts w:ascii="Hiragino Sans GB" w:hAnsi="Hiragino Sans GB" w:eastAsia="Hiragino Sans GB"/>
        <w:b w:val="0"/>
        <w:i w:val="0"/>
        <w:color w:val="5F6B76"/>
        <w:sz w:val="16"/>
      </w:rPr>
      <w:t xml:space="preserve">第 </w:t>
    </w:r>
    <w:fldSimple w:instr="PAGE">
      <w:r>
        <w:t>1</w:t>
      </w:r>
    </w:fldSimple>
    <w:r>
      <w:rPr>
        <w:rFonts w:ascii="Hiragino Sans GB" w:hAnsi="Hiragino Sans GB" w:eastAsia="Hiragino Sans GB"/>
        <w:b w:val="0"/>
        <w:i w:val="0"/>
        <w:color w:val="5F6B7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Hiragino Sans GB" w:hAnsi="Hiragino Sans GB" w:eastAsia="Hiragino Sans GB"/>
        <w:b w:val="0"/>
        <w:i w:val="0"/>
        <w:color w:val="5F6B76"/>
        <w:sz w:val="15"/>
      </w:rPr>
      <w:t>供应链启动交接文件  |  汾酒尼泊尔线上销售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Hiragino Sans GB" w:hAnsi="Hiragino Sans GB" w:eastAsia="Hiragino Sans GB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汾酒尼泊尔线上销售</dc:title>
  <dc:subject>供应链启动配合清单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