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40" w:after="240"/>
      </w:pPr>
      <w:r>
        <w:rPr>
          <w:rFonts w:ascii="Hiragino Sans GB" w:hAnsi="Hiragino Sans GB" w:eastAsia="Hiragino Sans GB"/>
          <w:b/>
          <w:color w:val="1F4D78"/>
          <w:sz w:val="44"/>
        </w:rPr>
        <w:t>项目总览与阅读说明</w:t>
      </w:r>
    </w:p>
    <w:p>
      <w:pPr>
        <w:spacing w:after="400"/>
      </w:pPr>
      <w:r>
        <w:rPr>
          <w:rFonts w:ascii="Hiragino Sans GB" w:hAnsi="Hiragino Sans GB" w:eastAsia="Hiragino Sans GB"/>
          <w:color w:val="667085"/>
          <w:sz w:val="24"/>
        </w:rPr>
        <w:t>21份 DOCX 的阅读入口与合作讨论顺序</w:t>
      </w:r>
    </w:p>
    <w:p>
      <w:pPr>
        <w:spacing w:after="360"/>
        <w:jc w:val="left"/>
      </w:pPr>
      <w:r>
        <w:rPr>
          <w:rFonts w:ascii="Hiragino Sans GB" w:hAnsi="Hiragino Sans GB" w:eastAsia="Hiragino Sans GB"/>
          <w:b/>
          <w:color w:val="1F2937"/>
          <w:sz w:val="18"/>
        </w:rPr>
        <w:t>研究日期：</w:t>
      </w:r>
      <w:r>
        <w:rPr>
          <w:rFonts w:ascii="Hiragino Sans GB" w:hAnsi="Hiragino Sans GB" w:eastAsia="Hiragino Sans GB"/>
          <w:color w:val="667085"/>
          <w:sz w:val="18"/>
        </w:rPr>
        <w:t>2026-07-27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当前状态：</w:t>
      </w:r>
      <w:r>
        <w:rPr>
          <w:rFonts w:ascii="Hiragino Sans GB" w:hAnsi="Hiragino Sans GB" w:eastAsia="Hiragino Sans GB"/>
          <w:color w:val="667085"/>
          <w:sz w:val="18"/>
        </w:rPr>
        <w:t>部分完成：公开研究已完成，真实商品与本地执行条件待核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判断方式：</w:t>
      </w:r>
      <w:r>
        <w:rPr>
          <w:rFonts w:ascii="Hiragino Sans GB" w:hAnsi="Hiragino Sans GB" w:eastAsia="Hiragino Sans GB"/>
          <w:color w:val="667085"/>
          <w:sz w:val="18"/>
        </w:rPr>
        <w:t>已确认 / 部分成立 / 待验证 / 推测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版本：</w:t>
      </w:r>
      <w:r>
        <w:rPr>
          <w:rFonts w:ascii="Hiragino Sans GB" w:hAnsi="Hiragino Sans GB" w:eastAsia="Hiragino Sans GB"/>
          <w:color w:val="667085"/>
          <w:sz w:val="18"/>
        </w:rPr>
        <w:t>v1.0 合作讨论稿</w:t>
        <w:br/>
      </w:r>
    </w:p>
    <w:p>
      <w:pPr>
        <w:spacing w:before="80" w:after="180"/>
        <w:shd w:fill="FFF4CE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使用提醒  </w:t>
      </w:r>
      <w:r>
        <w:rPr>
          <w:rFonts w:ascii="Hiragino Sans GB" w:hAnsi="Hiragino Sans GB" w:eastAsia="Hiragino Sans GB"/>
          <w:color w:val="1F2937"/>
          <w:sz w:val="21"/>
        </w:rPr>
        <w:t>本文件用于合作讨论和首阶段验证，不替代尼泊尔当地法律、报关、食品许可、税务或冷链专业意见。</w:t>
      </w:r>
    </w:p>
    <w:p>
      <w:r>
        <w:br w:type="page"/>
      </w:r>
    </w:p>
    <w:p>
      <w:pPr>
        <w:pStyle w:val="Heading1"/>
      </w:pPr>
      <w:r>
        <w:t>阅读目录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8"/>
        <w:gridCol w:w="8352"/>
      </w:tblGrid>
      <w:tr>
        <w:trPr>
          <w:tblHeader w:val="true"/>
        </w:trPr>
        <w:tc>
          <w:tcPr>
            <w:tcW w:type="dxa" w:w="100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章节</w:t>
            </w:r>
          </w:p>
        </w:tc>
        <w:tc>
          <w:tcPr>
            <w:tcW w:type="dxa" w:w="835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1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核心结论</w:t>
            </w:r>
          </w:p>
        </w:tc>
      </w:tr>
      <w:tr>
        <w:tc>
          <w:tcPr>
            <w:tcW w:type="dxa" w:w="10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2</w:t>
            </w:r>
          </w:p>
        </w:tc>
        <w:tc>
          <w:tcPr>
            <w:tcW w:type="dxa" w:w="83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文件清单与阅读顺序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3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本轮完成边界</w:t>
            </w:r>
          </w:p>
        </w:tc>
      </w:tr>
      <w:tr>
        <w:tc>
          <w:tcPr>
            <w:tcW w:type="dxa" w:w="10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4</w:t>
            </w:r>
          </w:p>
        </w:tc>
        <w:tc>
          <w:tcPr>
            <w:tcW w:type="dxa" w:w="83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合作分工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5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下一步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Hiragino Sans GB" w:hAnsi="Hiragino Sans GB" w:eastAsia="Hiragino Sans GB"/>
          <w:b/>
          <w:color w:val="667085"/>
          <w:sz w:val="18"/>
        </w:rPr>
        <w:t>可更新目录：</w:t>
      </w:r>
      <w:r>
        <w:fldChar w:fldCharType="begin"/>
        <w:instrText xml:space="preserve">TOC \o "1-3" \h \z \u</w:instrText>
        <w:fldChar w:fldCharType="separate"/>
        <w:t>在 Word/WPS 中更新目录</w:t>
        <w:fldChar w:fldCharType="end"/>
      </w:r>
    </w:p>
    <w:p>
      <w:pPr>
        <w:pStyle w:val="Heading1"/>
      </w:pPr>
      <w:r>
        <w:t>核心结论</w:t>
      </w:r>
    </w:p>
    <w:p>
      <w:pPr>
        <w:spacing w:before="80" w:after="180"/>
        <w:shd w:fill="EAF6EF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总判断  </w:t>
      </w:r>
      <w:r>
        <w:rPr>
          <w:rFonts w:ascii="Hiragino Sans GB" w:hAnsi="Hiragino Sans GB" w:eastAsia="Hiragino Sans GB"/>
          <w:color w:val="1F2937"/>
          <w:sz w:val="21"/>
        </w:rPr>
        <w:t>项目值得做受控试点，但不适合立即做全国铺货。第一阶段只做加德满都谷地的冷冻品、小范围采购验证和真实履约记录。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6120"/>
        <w:gridCol w:w="1296"/>
      </w:tblGrid>
      <w:tr>
        <w:trPr>
          <w:tblHeader w:val="true"/>
        </w:trPr>
        <w:tc>
          <w:tcPr>
            <w:tcW w:type="dxa" w:w="194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问题</w:t>
            </w:r>
          </w:p>
        </w:tc>
        <w:tc>
          <w:tcPr>
            <w:tcW w:type="dxa" w:w="612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当前建议</w:t>
            </w:r>
          </w:p>
        </w:tc>
        <w:tc>
          <w:tcPr>
            <w:tcW w:type="dxa" w:w="129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状态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先做哪里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Kathmandu、Lalitpur、Bhaktapur 按一个冷链区域推进；Pokhara 等复购后再进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推测</w:t>
            </w:r>
          </w:p>
        </w:tc>
      </w:tr>
      <w:tr>
        <w:tc>
          <w:tcPr>
            <w:tcW w:type="dxa" w:w="19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先做什么</w:t>
            </w:r>
          </w:p>
        </w:tc>
        <w:tc>
          <w:tcPr>
            <w:tcW w:type="dxa" w:w="6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冷冻巴沙鱼柳、规格化虾、鱿鱼、即烹组合；三文鱼只做小量形象测试</w:t>
            </w:r>
          </w:p>
        </w:tc>
        <w:tc>
          <w:tcPr>
            <w:tcW w:type="dxa" w:w="12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部分成立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先做哪类合作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酒店与度假村、亚洲餐厅、冷冻经销、精品零售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部分成立</w:t>
            </w:r>
          </w:p>
        </w:tc>
      </w:tr>
      <w:tr>
        <w:tc>
          <w:tcPr>
            <w:tcW w:type="dxa" w:w="19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面向消费者怎么做</w:t>
            </w:r>
          </w:p>
        </w:tc>
        <w:tc>
          <w:tcPr>
            <w:tcW w:type="dxa" w:w="6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内容教育与询问收集，成交放到独立页面、WhatsApp/Viber/电话</w:t>
            </w:r>
          </w:p>
        </w:tc>
        <w:tc>
          <w:tcPr>
            <w:tcW w:type="dxa" w:w="12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部分成立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TikTok 能做什么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可做自然内容；Shop 不在尼泊尔官方市场清单；广告与 LIVE 需实际账号复核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已确认／待验证</w:t>
            </w:r>
          </w:p>
        </w:tc>
      </w:tr>
      <w:tr>
        <w:tc>
          <w:tcPr>
            <w:tcW w:type="dxa" w:w="19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收款怎么做</w:t>
            </w:r>
          </w:p>
        </w:tc>
        <w:tc>
          <w:tcPr>
            <w:tcW w:type="dxa" w:w="6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Fonepay QR、eSewa、Khalti 与货到付款并行，需本地主体接入</w:t>
            </w:r>
          </w:p>
        </w:tc>
        <w:tc>
          <w:tcPr>
            <w:tcW w:type="dxa" w:w="12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部分成立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什么时候扩大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至少 8 个试单单位，复购或补货不低于 30%，且无重大合规与履约事件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试点规则</w:t>
            </w:r>
          </w:p>
        </w:tc>
      </w:tr>
      <w:tr>
        <w:tc>
          <w:tcPr>
            <w:tcW w:type="dxa" w:w="19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什么情况下暂停</w:t>
            </w:r>
          </w:p>
        </w:tc>
        <w:tc>
          <w:tcPr>
            <w:tcW w:type="dxa" w:w="6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50 个已核实对象、两轮实验后仍少于 3 个试单，或出现负贡献与重大食品安全问题</w:t>
            </w:r>
          </w:p>
        </w:tc>
        <w:tc>
          <w:tcPr>
            <w:tcW w:type="dxa" w:w="12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试点规则</w:t>
            </w:r>
          </w:p>
        </w:tc>
      </w:tr>
    </w:tbl>
    <w:p>
      <w:pPr>
        <w:spacing w:after="40"/>
      </w:pPr>
    </w:p>
    <w:p>
      <w:pPr>
        <w:pStyle w:val="Heading1"/>
      </w:pPr>
      <w:r>
        <w:t>文件清单与阅读顺序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64"/>
        <w:gridCol w:w="8496"/>
      </w:tblGrid>
      <w:tr>
        <w:trPr>
          <w:tblHeader w:val="true"/>
        </w:trPr>
        <w:tc>
          <w:tcPr>
            <w:tcW w:type="dxa" w:w="86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顺序</w:t>
            </w:r>
          </w:p>
        </w:tc>
        <w:tc>
          <w:tcPr>
            <w:tcW w:type="dxa" w:w="849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1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00 项目总览与阅读说明</w:t>
            </w:r>
          </w:p>
        </w:tc>
      </w:tr>
      <w:tr>
        <w:tc>
          <w:tcPr>
            <w:tcW w:type="dxa" w:w="8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2</w:t>
            </w:r>
          </w:p>
        </w:tc>
        <w:tc>
          <w:tcPr>
            <w:tcW w:type="dxa" w:w="84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01 市场深度调研报告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3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02 全品类海鲜机会手册</w:t>
            </w:r>
          </w:p>
        </w:tc>
      </w:tr>
      <w:tr>
        <w:tc>
          <w:tcPr>
            <w:tcW w:type="dxa" w:w="8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4</w:t>
            </w:r>
          </w:p>
        </w:tc>
        <w:tc>
          <w:tcPr>
            <w:tcW w:type="dxa" w:w="84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03 城市、人群、场景优先级评分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5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04 竞品与价格研究手册</w:t>
            </w:r>
          </w:p>
        </w:tc>
      </w:tr>
      <w:tr>
        <w:tc>
          <w:tcPr>
            <w:tcW w:type="dxa" w:w="8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6</w:t>
            </w:r>
          </w:p>
        </w:tc>
        <w:tc>
          <w:tcPr>
            <w:tcW w:type="dxa" w:w="84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05 B2B线上销售全渠道方案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7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06 B2B潜在合作对象数据库</w:t>
            </w:r>
          </w:p>
        </w:tc>
      </w:tr>
      <w:tr>
        <w:tc>
          <w:tcPr>
            <w:tcW w:type="dxa" w:w="8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8</w:t>
            </w:r>
          </w:p>
        </w:tc>
        <w:tc>
          <w:tcPr>
            <w:tcW w:type="dxa" w:w="84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07 B2B AI获客与跟进SOP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9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08 B2C线上销售全渠道方案</w:t>
            </w:r>
          </w:p>
        </w:tc>
      </w:tr>
      <w:tr>
        <w:tc>
          <w:tcPr>
            <w:tcW w:type="dxa" w:w="8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10</w:t>
            </w:r>
          </w:p>
        </w:tc>
        <w:tc>
          <w:tcPr>
            <w:tcW w:type="dxa" w:w="84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09 TikTok专项运营与AI内容方案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11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10 TikTok内容选题与脚本样例库</w:t>
            </w:r>
          </w:p>
        </w:tc>
      </w:tr>
      <w:tr>
        <w:tc>
          <w:tcPr>
            <w:tcW w:type="dxa" w:w="8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12</w:t>
            </w:r>
          </w:p>
        </w:tc>
        <w:tc>
          <w:tcPr>
            <w:tcW w:type="dxa" w:w="84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11 AI销售系统总体架构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13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12 AI协作模块功能与数据流设计</w:t>
            </w:r>
          </w:p>
        </w:tc>
      </w:tr>
      <w:tr>
        <w:tc>
          <w:tcPr>
            <w:tcW w:type="dxa" w:w="8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14</w:t>
            </w:r>
          </w:p>
        </w:tc>
        <w:tc>
          <w:tcPr>
            <w:tcW w:type="dxa" w:w="84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13 CRM信息项与销售漏斗设计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15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14 供应链资料与数据接口清单</w:t>
            </w:r>
          </w:p>
        </w:tc>
      </w:tr>
      <w:tr>
        <w:tc>
          <w:tcPr>
            <w:tcW w:type="dxa" w:w="8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16</w:t>
            </w:r>
          </w:p>
        </w:tc>
        <w:tc>
          <w:tcPr>
            <w:tcW w:type="dxa" w:w="84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15 30/60/90天执行计划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17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16 风险、停止投入、扩大投入标准</w:t>
            </w:r>
          </w:p>
        </w:tc>
      </w:tr>
      <w:tr>
        <w:tc>
          <w:tcPr>
            <w:tcW w:type="dxa" w:w="8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18</w:t>
            </w:r>
          </w:p>
        </w:tc>
        <w:tc>
          <w:tcPr>
            <w:tcW w:type="dxa" w:w="84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17 来源与引用索引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19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18 后续Codex 5.5执行任务包</w:t>
            </w:r>
          </w:p>
        </w:tc>
      </w:tr>
      <w:tr>
        <w:tc>
          <w:tcPr>
            <w:tcW w:type="dxa" w:w="8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20</w:t>
            </w:r>
          </w:p>
        </w:tc>
        <w:tc>
          <w:tcPr>
            <w:tcW w:type="dxa" w:w="84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总方案完整版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21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研究来源使用说明</w:t>
            </w:r>
          </w:p>
        </w:tc>
      </w:tr>
    </w:tbl>
    <w:p>
      <w:pPr>
        <w:spacing w:after="40"/>
      </w:pPr>
    </w:p>
    <w:p>
      <w:pPr>
        <w:pStyle w:val="Heading1"/>
      </w:pPr>
      <w:r>
        <w:t>本轮完成边界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1800"/>
        <w:gridCol w:w="5328"/>
      </w:tblGrid>
      <w:tr>
        <w:trPr>
          <w:tblHeader w:val="true"/>
        </w:trPr>
        <w:tc>
          <w:tcPr>
            <w:tcW w:type="dxa" w:w="223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事项</w:t>
            </w:r>
          </w:p>
        </w:tc>
        <w:tc>
          <w:tcPr>
            <w:tcW w:type="dxa" w:w="180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本轮状态</w:t>
            </w:r>
          </w:p>
        </w:tc>
        <w:tc>
          <w:tcPr>
            <w:tcW w:type="dxa" w:w="532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公开市场研究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已完成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覆盖人口、贸易、城市、旅游、支付、平台、竞品、合规和协会入口</w:t>
            </w:r>
          </w:p>
        </w:tc>
      </w:tr>
      <w:tr>
        <w:tc>
          <w:tcPr>
            <w:tcW w:type="dxa" w:w="223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商品方向和试点顺序</w:t>
            </w:r>
          </w:p>
        </w:tc>
        <w:tc>
          <w:tcPr>
            <w:tcW w:type="dxa" w:w="18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已形成候选结论</w:t>
            </w:r>
          </w:p>
        </w:tc>
        <w:tc>
          <w:tcPr>
            <w:tcW w:type="dxa" w:w="532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以公开供给、价格和履约可行性评分，仍需真实供应资料验证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合作对象清单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已建立公开名单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25 个公开组织入口，尚未联系，不代表采购意向</w:t>
            </w:r>
          </w:p>
        </w:tc>
      </w:tr>
      <w:tr>
        <w:tc>
          <w:tcPr>
            <w:tcW w:type="dxa" w:w="223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真实商品与落地成本</w:t>
            </w:r>
          </w:p>
        </w:tc>
        <w:tc>
          <w:tcPr>
            <w:tcW w:type="dxa" w:w="18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待验证</w:t>
            </w:r>
          </w:p>
        </w:tc>
        <w:tc>
          <w:tcPr>
            <w:tcW w:type="dxa" w:w="532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缺少供应价格、库存、海关编码、税费、冷链和本地进口方确认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真实投放与成交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未执行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没有使用任何真实账号、广告预算、支付账户或外发权限</w:t>
            </w:r>
          </w:p>
        </w:tc>
      </w:tr>
      <w:tr>
        <w:tc>
          <w:tcPr>
            <w:tcW w:type="dxa" w:w="223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市场规模与销售结果</w:t>
            </w:r>
          </w:p>
        </w:tc>
        <w:tc>
          <w:tcPr>
            <w:tcW w:type="dxa" w:w="18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不能下结论</w:t>
            </w:r>
          </w:p>
        </w:tc>
        <w:tc>
          <w:tcPr>
            <w:tcW w:type="dxa" w:w="532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HS 03 数据只作贸易口径参考，不等于全部市场或可获得收入</w:t>
            </w:r>
          </w:p>
        </w:tc>
      </w:tr>
    </w:tbl>
    <w:p>
      <w:pPr>
        <w:spacing w:after="40"/>
      </w:pPr>
    </w:p>
    <w:p>
      <w:pPr>
        <w:pStyle w:val="Heading1"/>
      </w:pPr>
      <w:r>
        <w:t>合作分工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4680"/>
        <w:gridCol w:w="2808"/>
      </w:tblGrid>
      <w:tr>
        <w:trPr>
          <w:tblHeader w:val="true"/>
        </w:trPr>
        <w:tc>
          <w:tcPr>
            <w:tcW w:type="dxa" w:w="187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责任方</w:t>
            </w:r>
          </w:p>
        </w:tc>
        <w:tc>
          <w:tcPr>
            <w:tcW w:type="dxa" w:w="468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主要责任</w:t>
            </w:r>
          </w:p>
        </w:tc>
        <w:tc>
          <w:tcPr>
            <w:tcW w:type="dxa" w:w="280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首要交付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中国供应方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提供真实商品、价格、库存、资质、产地、包装、保质期和温控要求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可核实的商品资料包</w:t>
            </w:r>
          </w:p>
        </w:tc>
      </w:tr>
      <w:tr>
        <w:tc>
          <w:tcPr>
            <w:tcW w:type="dxa" w:w="187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尼泊尔进口与供应链方</w:t>
            </w:r>
          </w:p>
        </w:tc>
        <w:tc>
          <w:tcPr>
            <w:tcW w:type="dxa" w:w="46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许可、海关归类、税费、仓储、冷链、配送和召回</w:t>
            </w:r>
          </w:p>
        </w:tc>
        <w:tc>
          <w:tcPr>
            <w:tcW w:type="dxa" w:w="28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清关与冷链书面确认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线上销售团队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内容、公开名单、沟通草稿、订单协同、复盘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小范围验证与回流记录</w:t>
            </w:r>
          </w:p>
        </w:tc>
      </w:tr>
      <w:tr>
        <w:tc>
          <w:tcPr>
            <w:tcW w:type="dxa" w:w="187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项目负责人</w:t>
            </w:r>
          </w:p>
        </w:tc>
        <w:tc>
          <w:tcPr>
            <w:tcW w:type="dxa" w:w="46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批准报价、样品、预算、投放、特殊条款和扩大或暂停</w:t>
            </w:r>
          </w:p>
        </w:tc>
        <w:tc>
          <w:tcPr>
            <w:tcW w:type="dxa" w:w="28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每周决策记录</w:t>
            </w:r>
          </w:p>
        </w:tc>
      </w:tr>
    </w:tbl>
    <w:p>
      <w:pPr>
        <w:spacing w:after="40"/>
      </w:pPr>
    </w:p>
    <w:p>
      <w:pPr>
        <w:pStyle w:val="Heading1"/>
      </w:pPr>
      <w:r>
        <w:t>下一步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64"/>
        <w:gridCol w:w="8496"/>
      </w:tblGrid>
      <w:tr>
        <w:trPr>
          <w:tblHeader w:val="true"/>
        </w:trPr>
        <w:tc>
          <w:tcPr>
            <w:tcW w:type="dxa" w:w="86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顺序</w:t>
            </w:r>
          </w:p>
        </w:tc>
        <w:tc>
          <w:tcPr>
            <w:tcW w:type="dxa" w:w="849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1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先读总方案完整版和第14份供应链清单</w:t>
            </w:r>
          </w:p>
        </w:tc>
      </w:tr>
      <w:tr>
        <w:tc>
          <w:tcPr>
            <w:tcW w:type="dxa" w:w="8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2</w:t>
            </w:r>
          </w:p>
        </w:tc>
        <w:tc>
          <w:tcPr>
            <w:tcW w:type="dxa" w:w="84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补齐 P0 信息并请报关行逐品复核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3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在加德满都谷地选 10-20 个真实商品候选</w:t>
            </w:r>
          </w:p>
        </w:tc>
      </w:tr>
      <w:tr>
        <w:tc>
          <w:tcPr>
            <w:tcW w:type="dxa" w:w="8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4</w:t>
            </w:r>
          </w:p>
        </w:tc>
        <w:tc>
          <w:tcPr>
            <w:tcW w:type="dxa" w:w="84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人工审核后联系首批 15-25 个公开组织入口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5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30 天后只按有效沟通、试单、履约和复购判断</w:t>
            </w:r>
          </w:p>
        </w:tc>
      </w:tr>
    </w:tbl>
    <w:p>
      <w:pPr>
        <w:spacing w:after="40"/>
      </w:pPr>
    </w:p>
    <w:p>
      <w:pPr>
        <w:pStyle w:val="Heading1"/>
      </w:pPr>
      <w:r>
        <w:t>执行前确认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744"/>
        <w:gridCol w:w="1584"/>
        <w:gridCol w:w="4032"/>
      </w:tblGrid>
      <w:tr>
        <w:trPr>
          <w:tblHeader w:val="true"/>
        </w:trPr>
        <w:tc>
          <w:tcPr>
            <w:tcW w:type="dxa" w:w="374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事项</w:t>
            </w:r>
          </w:p>
        </w:tc>
        <w:tc>
          <w:tcPr>
            <w:tcW w:type="dxa" w:w="158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当前状态</w:t>
            </w:r>
          </w:p>
        </w:tc>
        <w:tc>
          <w:tcPr>
            <w:tcW w:type="dxa" w:w="403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行动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真实商品、价格、库存与有效期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待验证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由中国供应方提供并持续更新</w:t>
            </w:r>
          </w:p>
        </w:tc>
      </w:tr>
      <w:tr>
        <w:tc>
          <w:tcPr>
            <w:tcW w:type="dxa" w:w="37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进口许可、海关编码、税费与标签</w:t>
            </w:r>
          </w:p>
        </w:tc>
        <w:tc>
          <w:tcPr>
            <w:tcW w:type="dxa" w:w="15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待验证</w:t>
            </w:r>
          </w:p>
        </w:tc>
        <w:tc>
          <w:tcPr>
            <w:tcW w:type="dxa" w:w="403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由尼泊尔进口方和报关行逐品复核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冷链、配送、支付与售后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待验证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在加德满都谷地完成真实演练</w:t>
            </w:r>
          </w:p>
        </w:tc>
      </w:tr>
      <w:tr>
        <w:tc>
          <w:tcPr>
            <w:tcW w:type="dxa" w:w="37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真实联系、投放、订单与复购</w:t>
            </w:r>
          </w:p>
        </w:tc>
        <w:tc>
          <w:tcPr>
            <w:tcW w:type="dxa" w:w="15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未执行</w:t>
            </w:r>
          </w:p>
        </w:tc>
        <w:tc>
          <w:tcPr>
            <w:tcW w:type="dxa" w:w="403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人工批准后小范围开展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iragino Sans GB" w:hAnsi="Hiragino Sans GB" w:eastAsia="Hiragino Sans GB"/>
        <w:color w:val="667085"/>
        <w:sz w:val="16"/>
      </w:rPr>
      <w:t xml:space="preserve">2026-07-27  | 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Hiragino Sans GB" w:hAnsi="Hiragino Sans GB" w:eastAsia="Hiragino Sans GB"/>
        <w:color w:val="667085"/>
        <w:sz w:val="16"/>
      </w:rPr>
      <w:t>尼泊尔海鲜项目｜合作执行资料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  <w:jc w:val="left"/>
    </w:pPr>
    <w:rPr>
      <w:rFonts w:ascii="Hiragino Sans GB" w:hAnsi="Hiragino Sans GB" w:eastAsia="Hiragino Sans GB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00_项目总览与阅读说明</dc:title>
  <dc:subject>中国供应链向尼泊尔销售海鲜产品的合作执行资料</dc:subject>
  <dc:creator>项目研究与规划工作组</dc:creator>
  <cp:keywords/>
  <dc:description>公开研究与试点方案；未确认事项保持待验证。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