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 w:after="240"/>
      </w:pPr>
      <w:r>
        <w:rPr>
          <w:rFonts w:ascii="Hiragino Sans GB" w:hAnsi="Hiragino Sans GB" w:eastAsia="Hiragino Sans GB"/>
          <w:b/>
          <w:color w:val="1F4D78"/>
          <w:sz w:val="50"/>
        </w:rPr>
        <w:t>尼泊尔海鲜市场深度调研报告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贸易、城市、消费场景、支付与进入策略</w:t>
      </w:r>
    </w:p>
    <w:p>
      <w:pPr>
        <w:spacing w:after="360"/>
        <w:jc w:val="left"/>
      </w:pPr>
      <w:r>
        <w:rPr>
          <w:rFonts w:ascii="Hiragino Sans GB" w:hAnsi="Hiragino Sans GB" w:eastAsia="Hiragino Sans GB"/>
          <w:b/>
          <w:color w:val="1F2937"/>
          <w:sz w:val="18"/>
        </w:rPr>
        <w:t>研究日期：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部分完成：公开研究已完成，真实商品与本地执行条件待核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合作讨论稿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本文件用于合作讨论和首阶段验证，不替代尼泊尔当地法律、报关、食品许可、税务或冷链专业意见。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8352"/>
      </w:tblGrid>
      <w:tr>
        <w:trPr>
          <w:tblHeader w:val="true"/>
        </w:trPr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83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执行摘要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宏观与水产供给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进口结构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城市与需求场景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市场规模边界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进入建议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7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来源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判断口径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3600"/>
        <w:gridCol w:w="4248"/>
      </w:tblGrid>
      <w:tr>
        <w:trPr>
          <w:tblHeader w:val="true"/>
        </w:trPr>
        <w:tc>
          <w:tcPr>
            <w:tcW w:type="dxa" w:w="15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标记</w:t>
            </w:r>
          </w:p>
        </w:tc>
        <w:tc>
          <w:tcPr>
            <w:tcW w:type="dxa" w:w="36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42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如何使用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已确认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有官方、平台官方、企业官网或公开统计支持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可以作为当前讨论依据；动态页面在行动前再看一次</w:t>
            </w:r>
          </w:p>
        </w:tc>
      </w:tr>
      <w:tr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部分成立</w:t>
            </w:r>
          </w:p>
        </w:tc>
        <w:tc>
          <w:tcPr>
            <w:tcW w:type="dxa" w:w="3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核心方向有证据，但地区、账号、商品或执行条件尚未全部核实</w:t>
            </w:r>
          </w:p>
        </w:tc>
        <w:tc>
          <w:tcPr>
            <w:tcW w:type="dxa" w:w="42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只用于试点，不用于做强承诺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缺少本地主体、报关、商品、库存、价格、配送或账号实测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由责任方补证后才能推进</w:t>
            </w:r>
          </w:p>
        </w:tc>
      </w:tr>
      <w:tr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推测</w:t>
            </w:r>
          </w:p>
        </w:tc>
        <w:tc>
          <w:tcPr>
            <w:tcW w:type="dxa" w:w="3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从多项证据形成的工作假设</w:t>
            </w:r>
          </w:p>
        </w:tc>
        <w:tc>
          <w:tcPr>
            <w:tcW w:type="dxa" w:w="42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用小规模实验检验，不当作市场事实</w:t>
            </w:r>
          </w:p>
        </w:tc>
      </w:tr>
    </w:tbl>
    <w:p>
      <w:pPr>
        <w:spacing w:after="40"/>
      </w:pPr>
    </w:p>
    <w:p>
      <w:pPr>
        <w:pStyle w:val="Heading1"/>
      </w:pPr>
      <w:r>
        <w:t>执行摘要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结论  </w:t>
      </w:r>
      <w:r>
        <w:rPr>
          <w:rFonts w:ascii="Hiragino Sans GB" w:hAnsi="Hiragino Sans GB" w:eastAsia="Hiragino Sans GB"/>
          <w:color w:val="1F2937"/>
          <w:sz w:val="21"/>
        </w:rPr>
        <w:t>尼泊尔存在进口海鲜与城市冷冻零售，但公开证据支持的是“加德满都谷地的小规模验证”，不是“全国大市场已经成熟”。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3672"/>
        <w:gridCol w:w="3456"/>
      </w:tblGrid>
      <w:tr>
        <w:trPr>
          <w:tblHeader w:val="true"/>
        </w:trPr>
        <w:tc>
          <w:tcPr>
            <w:tcW w:type="dxa" w:w="22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判断</w:t>
            </w:r>
          </w:p>
        </w:tc>
        <w:tc>
          <w:tcPr>
            <w:tcW w:type="dxa" w:w="367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证据</w:t>
            </w:r>
          </w:p>
        </w:tc>
        <w:tc>
          <w:tcPr>
            <w:tcW w:type="dxa" w:w="345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意义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进口市场存在但波动明显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HS 03 进口额由 2021 年约 1,520 万美元降至 2022 年约 636 万美元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用最新清关与销售数据校准，不能用单年外推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本地淡水鱼供给占主导</w:t>
            </w:r>
          </w:p>
        </w:tc>
        <w:tc>
          <w:tcPr>
            <w:tcW w:type="dxa" w:w="36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研究显示 2023 年鱼类供给约 11.37 万吨、养殖占比较高</w:t>
            </w:r>
          </w:p>
        </w:tc>
        <w:tc>
          <w:tcPr>
            <w:tcW w:type="dxa" w:w="34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进口产品要做品类差异、规格稳定和方便处理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鱼与鱼柳是进口主结构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2022 年鲜冷鱼约 43%，鱼柳及鱼肉约 39%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巴沙鱼柳等标准化商品更适合先跑</w:t>
            </w:r>
          </w:p>
        </w:tc>
      </w:tr>
      <w:tr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支付基础可用</w:t>
            </w:r>
          </w:p>
        </w:tc>
        <w:tc>
          <w:tcPr>
            <w:tcW w:type="dxa" w:w="36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二维码和电子钱包月度笔数都在 3,700 万笔以上</w:t>
            </w:r>
          </w:p>
        </w:tc>
        <w:tc>
          <w:tcPr>
            <w:tcW w:type="dxa" w:w="34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独立页面可接本地支付，但必须由本地主体办理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酒店餐饮是可触达场景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旅游统计列出 1,578 家登记住宿单位、62,642 张床位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先找厨师测试与稳定补货，不先做全国品牌广告</w:t>
            </w:r>
          </w:p>
        </w:tc>
      </w:tr>
    </w:tbl>
    <w:p>
      <w:pPr>
        <w:spacing w:after="40"/>
      </w:pPr>
    </w:p>
    <w:p>
      <w:pPr>
        <w:pStyle w:val="Heading1"/>
      </w:pPr>
      <w:r>
        <w:t>宏观与水产供给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73"/>
        <w:gridCol w:w="1310"/>
        <w:gridCol w:w="998"/>
        <w:gridCol w:w="1498"/>
        <w:gridCol w:w="1310"/>
        <w:gridCol w:w="2871"/>
      </w:tblGrid>
      <w:tr>
        <w:trPr>
          <w:tblHeader w:val="true"/>
        </w:trPr>
        <w:tc>
          <w:tcPr>
            <w:tcW w:type="dxa" w:w="137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指标</w:t>
            </w:r>
          </w:p>
        </w:tc>
        <w:tc>
          <w:tcPr>
            <w:tcW w:type="dxa" w:w="131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数值</w:t>
            </w:r>
          </w:p>
        </w:tc>
        <w:tc>
          <w:tcPr>
            <w:tcW w:type="dxa" w:w="99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时间</w:t>
            </w:r>
          </w:p>
        </w:tc>
        <w:tc>
          <w:tcPr>
            <w:tcW w:type="dxa" w:w="149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来源</w:t>
            </w:r>
          </w:p>
        </w:tc>
        <w:tc>
          <w:tcPr>
            <w:tcW w:type="dxa" w:w="131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287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对项目的意义</w:t>
            </w:r>
          </w:p>
        </w:tc>
      </w:tr>
      <w:tr>
        <w:tc>
          <w:tcPr>
            <w:tcW w:type="dxa" w:w="1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人口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29,618,118</w:t>
            </w:r>
          </w:p>
        </w:tc>
        <w:tc>
          <w:tcPr>
            <w:tcW w:type="dxa" w:w="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2025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World Bank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[KNOWN] [HIGH]</w:t>
            </w:r>
          </w:p>
        </w:tc>
        <w:tc>
          <w:tcPr>
            <w:tcW w:type="dxa" w:w="2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全国潜在消费面很大，但不能直接当作海鲜可服务市场。</w:t>
            </w:r>
          </w:p>
        </w:tc>
      </w:tr>
      <w:tr>
        <w:tc>
          <w:tcPr>
            <w:tcW w:type="dxa" w:w="13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城镇化率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67%</w:t>
            </w:r>
          </w:p>
        </w:tc>
        <w:tc>
          <w:tcPr>
            <w:tcW w:type="dxa" w:w="9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2025</w:t>
            </w:r>
          </w:p>
        </w:tc>
        <w:tc>
          <w:tcPr>
            <w:tcW w:type="dxa" w:w="14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World Bank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[KNOWN] [HIGH]</w:t>
            </w:r>
          </w:p>
        </w:tc>
        <w:tc>
          <w:tcPr>
            <w:tcW w:type="dxa" w:w="28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城市渠道的重要性较高，但仍需按冷链可服务范围缩小。</w:t>
            </w:r>
          </w:p>
        </w:tc>
      </w:tr>
      <w:tr>
        <w:tc>
          <w:tcPr>
            <w:tcW w:type="dxa" w:w="1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人均国内生产总值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1,535.9美元</w:t>
            </w:r>
          </w:p>
        </w:tc>
        <w:tc>
          <w:tcPr>
            <w:tcW w:type="dxa" w:w="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2025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World Bank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[KNOWN] [HIGH]</w:t>
            </w:r>
          </w:p>
        </w:tc>
        <w:tc>
          <w:tcPr>
            <w:tcW w:type="dxa" w:w="2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进口海鲜需要分层定价，不能用全国平均推断高端需求。</w:t>
            </w:r>
          </w:p>
        </w:tc>
      </w:tr>
      <w:tr>
        <w:tc>
          <w:tcPr>
            <w:tcW w:type="dxa" w:w="13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侨汇收入占国内生产总值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26.2%</w:t>
            </w:r>
          </w:p>
        </w:tc>
        <w:tc>
          <w:tcPr>
            <w:tcW w:type="dxa" w:w="9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2024</w:t>
            </w:r>
          </w:p>
        </w:tc>
        <w:tc>
          <w:tcPr>
            <w:tcW w:type="dxa" w:w="14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World Bank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[KNOWN] [HIGH]</w:t>
            </w:r>
          </w:p>
        </w:tc>
        <w:tc>
          <w:tcPr>
            <w:tcW w:type="dxa" w:w="28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部分城市家庭有外部收入支撑，但仍需实际价格测试。</w:t>
            </w:r>
          </w:p>
        </w:tc>
      </w:tr>
      <w:tr>
        <w:tc>
          <w:tcPr>
            <w:tcW w:type="dxa" w:w="1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本地鱼类产量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113,736吨</w:t>
            </w:r>
          </w:p>
        </w:tc>
        <w:tc>
          <w:tcPr>
            <w:tcW w:type="dxa" w:w="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2023/24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尼泊尔农业部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[KNOWN] [HIGH]</w:t>
            </w:r>
          </w:p>
        </w:tc>
        <w:tc>
          <w:tcPr>
            <w:tcW w:type="dxa" w:w="2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本地供应主要是淡水鱼，进口海鲜应强调品类差异而不是替代所有鱼类。</w:t>
            </w:r>
          </w:p>
        </w:tc>
      </w:tr>
      <w:tr>
        <w:tc>
          <w:tcPr>
            <w:tcW w:type="dxa" w:w="13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人均鱼类消费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约3.4千克/年</w:t>
            </w:r>
          </w:p>
        </w:tc>
        <w:tc>
          <w:tcPr>
            <w:tcW w:type="dxa" w:w="9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2022</w:t>
            </w:r>
          </w:p>
        </w:tc>
        <w:tc>
          <w:tcPr>
            <w:tcW w:type="dxa" w:w="14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FAO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[KNOWN] [HIGH]</w:t>
            </w:r>
          </w:p>
        </w:tc>
        <w:tc>
          <w:tcPr>
            <w:tcW w:type="dxa" w:w="28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消费真实存在但频率不高，价格和教育限制明显。</w:t>
            </w:r>
          </w:p>
        </w:tc>
      </w:tr>
      <w:tr>
        <w:tc>
          <w:tcPr>
            <w:tcW w:type="dxa" w:w="1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HS 03进口额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约636万美元</w:t>
            </w:r>
          </w:p>
        </w:tc>
        <w:tc>
          <w:tcPr>
            <w:tcW w:type="dxa" w:w="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2022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UN Comtrade再发布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[KNOWN] [MEDIUM]</w:t>
            </w:r>
          </w:p>
        </w:tc>
        <w:tc>
          <w:tcPr>
            <w:tcW w:type="dxa" w:w="2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只覆盖HS 03，不包括全部加工海鲜和本地销售，因此只能视作贸易口径下限参考。</w:t>
            </w:r>
          </w:p>
        </w:tc>
      </w:tr>
      <w:tr>
        <w:tc>
          <w:tcPr>
            <w:tcW w:type="dxa" w:w="13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HS 03进口额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约1,520万美元</w:t>
            </w:r>
          </w:p>
        </w:tc>
        <w:tc>
          <w:tcPr>
            <w:tcW w:type="dxa" w:w="9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2021</w:t>
            </w:r>
          </w:p>
        </w:tc>
        <w:tc>
          <w:tcPr>
            <w:tcW w:type="dxa" w:w="14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UN Comtrade再发布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[KNOWN] [MEDIUM]</w:t>
            </w:r>
          </w:p>
        </w:tc>
        <w:tc>
          <w:tcPr>
            <w:tcW w:type="dxa" w:w="28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2022同比下降约58%，进口市场波动大，不宜用单一年份外推。</w:t>
            </w:r>
          </w:p>
        </w:tc>
      </w:tr>
      <w:tr>
        <w:tc>
          <w:tcPr>
            <w:tcW w:type="dxa" w:w="1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HS 03来源国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印度54%、越南42%</w:t>
            </w:r>
          </w:p>
        </w:tc>
        <w:tc>
          <w:tcPr>
            <w:tcW w:type="dxa" w:w="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2022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UN Comtrade再发布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[KNOWN] [MEDIUM]</w:t>
            </w:r>
          </w:p>
        </w:tc>
        <w:tc>
          <w:tcPr>
            <w:tcW w:type="dxa" w:w="2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地理与既有供应关系给印度明显优势；越南在鱼柳等品类有基础。</w:t>
            </w:r>
          </w:p>
        </w:tc>
      </w:tr>
      <w:tr>
        <w:tc>
          <w:tcPr>
            <w:tcW w:type="dxa" w:w="13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HS 03中国来源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约301美元</w:t>
            </w:r>
          </w:p>
        </w:tc>
        <w:tc>
          <w:tcPr>
            <w:tcW w:type="dxa" w:w="9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2022</w:t>
            </w:r>
          </w:p>
        </w:tc>
        <w:tc>
          <w:tcPr>
            <w:tcW w:type="dxa" w:w="14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UN Comtrade再发布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[KNOWN] [MEDIUM]</w:t>
            </w:r>
          </w:p>
        </w:tc>
        <w:tc>
          <w:tcPr>
            <w:tcW w:type="dxa" w:w="28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当年中国份额几乎可忽略，进入需要重新建立信任和渠道。</w:t>
            </w:r>
          </w:p>
        </w:tc>
      </w:tr>
      <w:tr>
        <w:tc>
          <w:tcPr>
            <w:tcW w:type="dxa" w:w="1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HS 03品类结构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鲜冷鱼43%、鱼柳39%</w:t>
            </w:r>
          </w:p>
        </w:tc>
        <w:tc>
          <w:tcPr>
            <w:tcW w:type="dxa" w:w="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2022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UN Comtrade再发布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[KNOWN] [MEDIUM]</w:t>
            </w:r>
          </w:p>
        </w:tc>
        <w:tc>
          <w:tcPr>
            <w:tcW w:type="dxa" w:w="2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鱼类与鱼柳占主导；虾蟹和软体类规模较小但更具差异化。</w:t>
            </w:r>
          </w:p>
        </w:tc>
      </w:tr>
      <w:tr>
        <w:tc>
          <w:tcPr>
            <w:tcW w:type="dxa" w:w="13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旅游住宿供给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1,578家、62,642床</w:t>
            </w:r>
          </w:p>
        </w:tc>
        <w:tc>
          <w:tcPr>
            <w:tcW w:type="dxa" w:w="9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2024统计中的2081年数据</w:t>
            </w:r>
          </w:p>
        </w:tc>
        <w:tc>
          <w:tcPr>
            <w:tcW w:type="dxa" w:w="14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尼泊尔旅游部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[KNOWN] [HIGH]</w:t>
            </w:r>
          </w:p>
        </w:tc>
        <w:tc>
          <w:tcPr>
            <w:tcW w:type="dxa" w:w="28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酒店、度假村和餐厅形成可触达的B2B场景。</w:t>
            </w:r>
          </w:p>
        </w:tc>
      </w:tr>
      <w:tr>
        <w:tc>
          <w:tcPr>
            <w:tcW w:type="dxa" w:w="1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入境旅游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1,162,365人次</w:t>
            </w:r>
          </w:p>
        </w:tc>
        <w:tc>
          <w:tcPr>
            <w:tcW w:type="dxa" w:w="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2025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尼泊尔旅游部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[KNOWN] [MEDIUM]</w:t>
            </w:r>
          </w:p>
        </w:tc>
        <w:tc>
          <w:tcPr>
            <w:tcW w:type="dxa" w:w="2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旅游城市和酒店餐饮提供额外需求，但不能等同于海鲜采购量。</w:t>
            </w:r>
          </w:p>
        </w:tc>
      </w:tr>
      <w:tr>
        <w:tc>
          <w:tcPr>
            <w:tcW w:type="dxa" w:w="13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二维码支付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3,735.6万笔、1,217.77亿NPR</w:t>
            </w:r>
          </w:p>
        </w:tc>
        <w:tc>
          <w:tcPr>
            <w:tcW w:type="dxa" w:w="9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2025年9月中至10月中</w:t>
            </w:r>
          </w:p>
        </w:tc>
        <w:tc>
          <w:tcPr>
            <w:tcW w:type="dxa" w:w="14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Nepal Rastra Bank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[KNOWN] [HIGH]</w:t>
            </w:r>
          </w:p>
        </w:tc>
        <w:tc>
          <w:tcPr>
            <w:tcW w:type="dxa" w:w="28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二维码已是重要收款方式，独立商城应支持本地主流支付。</w:t>
            </w:r>
          </w:p>
        </w:tc>
      </w:tr>
      <w:tr>
        <w:tc>
          <w:tcPr>
            <w:tcW w:type="dxa" w:w="1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电子钱包支付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3,724.0万笔、469.54亿NPR</w:t>
            </w:r>
          </w:p>
        </w:tc>
        <w:tc>
          <w:tcPr>
            <w:tcW w:type="dxa" w:w="9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2025年9月中至10月中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Nepal Rastra Bank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[KNOWN] [HIGH]</w:t>
            </w:r>
          </w:p>
        </w:tc>
        <w:tc>
          <w:tcPr>
            <w:tcW w:type="dxa" w:w="2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电子钱包适合作为线上收款选项，但实际接入需本地主体。</w:t>
            </w:r>
          </w:p>
        </w:tc>
      </w:tr>
      <w:tr>
        <w:tc>
          <w:tcPr>
            <w:tcW w:type="dxa" w:w="13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电商卡支付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19.62万笔、12.86亿NPR</w:t>
            </w:r>
          </w:p>
        </w:tc>
        <w:tc>
          <w:tcPr>
            <w:tcW w:type="dxa" w:w="9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2025年9月中至10月中</w:t>
            </w:r>
          </w:p>
        </w:tc>
        <w:tc>
          <w:tcPr>
            <w:tcW w:type="dxa" w:w="149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Nepal Rastra Bank</w:t>
            </w:r>
          </w:p>
        </w:tc>
        <w:tc>
          <w:tcPr>
            <w:tcW w:type="dxa" w:w="131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[KNOWN] [HIGH]</w:t>
            </w:r>
          </w:p>
        </w:tc>
        <w:tc>
          <w:tcPr>
            <w:tcW w:type="dxa" w:w="28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卡类电商支付规模明显小于钱包和二维码，货到付款仍应保留。</w:t>
            </w:r>
          </w:p>
        </w:tc>
      </w:tr>
    </w:tbl>
    <w:p>
      <w:pPr>
        <w:spacing w:after="40"/>
      </w:pPr>
    </w:p>
    <w:p>
      <w:pPr>
        <w:pStyle w:val="Heading1"/>
      </w:pPr>
      <w:r>
        <w:t>进口结构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102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_sour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02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iragino Sans GB" w:hAnsi="Hiragino Sans GB" w:eastAsia="Hiragino Sans GB"/>
          <w:i/>
          <w:color w:val="667085"/>
          <w:sz w:val="17"/>
        </w:rPr>
        <w:t>图 1｜2022 年 HS 03 进口来源；中国当年金额极低，未单独显示。数据源：S09。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102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_categor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02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iragino Sans GB" w:hAnsi="Hiragino Sans GB" w:eastAsia="Hiragino Sans GB"/>
          <w:i/>
          <w:color w:val="667085"/>
          <w:sz w:val="17"/>
        </w:rPr>
        <w:t>图 2｜2022 年 HS 03 进口品类；只覆盖第 03 章，不覆盖所有加工海鲜。数据源：S09。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2160"/>
        <w:gridCol w:w="3600"/>
      </w:tblGrid>
      <w:tr>
        <w:trPr>
          <w:tblHeader w:val="true"/>
        </w:trPr>
        <w:tc>
          <w:tcPr>
            <w:tcW w:type="dxa" w:w="36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来源国</w:t>
            </w:r>
          </w:p>
        </w:tc>
        <w:tc>
          <w:tcPr>
            <w:tcW w:type="dxa" w:w="21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份额</w:t>
            </w:r>
          </w:p>
        </w:tc>
        <w:tc>
          <w:tcPr>
            <w:tcW w:type="dxa" w:w="36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金额（百万美元）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印度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54.0%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3.45</w:t>
            </w:r>
          </w:p>
        </w:tc>
      </w:tr>
      <w:tr>
        <w:tc>
          <w:tcPr>
            <w:tcW w:type="dxa" w:w="3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越南</w:t>
            </w:r>
          </w:p>
        </w:tc>
        <w:tc>
          <w:tcPr>
            <w:tcW w:type="dxa" w:w="2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42.0%</w:t>
            </w:r>
          </w:p>
        </w:tc>
        <w:tc>
          <w:tcPr>
            <w:tcW w:type="dxa" w:w="3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2.67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马来西亚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2.22%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0.141</w:t>
            </w:r>
          </w:p>
        </w:tc>
      </w:tr>
      <w:tr>
        <w:tc>
          <w:tcPr>
            <w:tcW w:type="dxa" w:w="3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泰国</w:t>
            </w:r>
          </w:p>
        </w:tc>
        <w:tc>
          <w:tcPr>
            <w:tcW w:type="dxa" w:w="2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0.86%</w:t>
            </w:r>
          </w:p>
        </w:tc>
        <w:tc>
          <w:tcPr>
            <w:tcW w:type="dxa" w:w="36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0.055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其他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0.92%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0.044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20"/>
        <w:gridCol w:w="2160"/>
        <w:gridCol w:w="2880"/>
      </w:tblGrid>
      <w:tr>
        <w:trPr>
          <w:tblHeader w:val="true"/>
        </w:trPr>
        <w:tc>
          <w:tcPr>
            <w:tcW w:type="dxa" w:w="432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进口品类</w:t>
            </w:r>
          </w:p>
        </w:tc>
        <w:tc>
          <w:tcPr>
            <w:tcW w:type="dxa" w:w="21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份额</w:t>
            </w:r>
          </w:p>
        </w:tc>
        <w:tc>
          <w:tcPr>
            <w:tcW w:type="dxa" w:w="28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金额（百万美元）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鲜冷鱼（0302）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43.0%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2.79</w:t>
            </w:r>
          </w:p>
        </w:tc>
      </w:tr>
      <w:tr>
        <w:tc>
          <w:tcPr>
            <w:tcW w:type="dxa" w:w="43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鱼柳及鱼肉（0304）</w:t>
            </w:r>
          </w:p>
        </w:tc>
        <w:tc>
          <w:tcPr>
            <w:tcW w:type="dxa" w:w="2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39.0%</w:t>
            </w:r>
          </w:p>
        </w:tc>
        <w:tc>
          <w:tcPr>
            <w:tcW w:type="dxa" w:w="28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2.52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虾蟹等甲壳类（0306）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4.7%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0.299</w:t>
            </w:r>
          </w:p>
        </w:tc>
      </w:tr>
      <w:tr>
        <w:tc>
          <w:tcPr>
            <w:tcW w:type="dxa" w:w="43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冷冻整鱼（0303）</w:t>
            </w:r>
          </w:p>
        </w:tc>
        <w:tc>
          <w:tcPr>
            <w:tcW w:type="dxa" w:w="2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4.62%</w:t>
            </w:r>
          </w:p>
        </w:tc>
        <w:tc>
          <w:tcPr>
            <w:tcW w:type="dxa" w:w="28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0.294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干制、盐渍、熏制鱼（0305）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4.19%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0.266</w:t>
            </w:r>
          </w:p>
        </w:tc>
      </w:tr>
      <w:tr>
        <w:tc>
          <w:tcPr>
            <w:tcW w:type="dxa" w:w="43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软体类（0307）</w:t>
            </w:r>
          </w:p>
        </w:tc>
        <w:tc>
          <w:tcPr>
            <w:tcW w:type="dxa" w:w="2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1.46%</w:t>
            </w:r>
          </w:p>
        </w:tc>
        <w:tc>
          <w:tcPr>
            <w:tcW w:type="dxa" w:w="28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0.092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其他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3.03%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0.193</w:t>
            </w:r>
          </w:p>
        </w:tc>
      </w:tr>
    </w:tbl>
    <w:p>
      <w:pPr>
        <w:spacing w:after="40"/>
      </w:pPr>
    </w:p>
    <w:p>
      <w:pPr>
        <w:pStyle w:val="Heading1"/>
      </w:pPr>
      <w:r>
        <w:t>城市与需求场景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698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ty_sco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69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iragino Sans GB" w:hAnsi="Hiragino Sans GB" w:eastAsia="Hiragino Sans GB"/>
          <w:i/>
          <w:color w:val="667085"/>
          <w:sz w:val="17"/>
        </w:rPr>
        <w:t>图 3｜城市评分是工作排序，不是市场份额或销售预测。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792"/>
        <w:gridCol w:w="1224"/>
        <w:gridCol w:w="1512"/>
        <w:gridCol w:w="3672"/>
        <w:gridCol w:w="720"/>
      </w:tblGrid>
      <w:tr>
        <w:trPr>
          <w:tblHeader w:val="true"/>
        </w:trPr>
        <w:tc>
          <w:tcPr>
            <w:tcW w:type="dxa" w:w="14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城市</w:t>
            </w:r>
          </w:p>
        </w:tc>
        <w:tc>
          <w:tcPr>
            <w:tcW w:type="dxa" w:w="7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评分</w:t>
            </w:r>
          </w:p>
        </w:tc>
        <w:tc>
          <w:tcPr>
            <w:tcW w:type="dxa" w:w="12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15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建议</w:t>
            </w:r>
          </w:p>
        </w:tc>
        <w:tc>
          <w:tcPr>
            <w:tcW w:type="dxa" w:w="367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理由</w:t>
            </w:r>
          </w:p>
        </w:tc>
        <w:tc>
          <w:tcPr>
            <w:tcW w:type="dxa" w:w="72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可信度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Kathmandu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91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第一优先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首批启动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人口与商业密度最高；酒店、协会、线上零售和海鲜在售证据最集中。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MEDIUM</w:t>
            </w:r>
          </w:p>
        </w:tc>
      </w:tr>
      <w:tr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Lalitpur</w:t>
            </w:r>
          </w:p>
        </w:tc>
        <w:tc>
          <w:tcPr>
            <w:tcW w:type="dxa" w:w="7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87</w:t>
            </w:r>
          </w:p>
        </w:tc>
        <w:tc>
          <w:tcPr>
            <w:tcW w:type="dxa" w:w="12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第一优先</w:t>
            </w:r>
          </w:p>
        </w:tc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与Kathmandu同一配送单元启动</w:t>
            </w:r>
          </w:p>
        </w:tc>
        <w:tc>
          <w:tcPr>
            <w:tcW w:type="dxa" w:w="36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高密度城市、餐饮与Kanomama所在地，适合并入谷地服务圈。</w:t>
            </w:r>
          </w:p>
        </w:tc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MEDIUM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Bhaktapur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81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第一优先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与谷地同批但限配送半径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可共享谷地渠道；需要实际冷链时效确认。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MEDIUM</w:t>
            </w:r>
          </w:p>
        </w:tc>
      </w:tr>
      <w:tr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Pokhara</w:t>
            </w:r>
          </w:p>
        </w:tc>
        <w:tc>
          <w:tcPr>
            <w:tcW w:type="dxa" w:w="7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75</w:t>
            </w:r>
          </w:p>
        </w:tc>
        <w:tc>
          <w:tcPr>
            <w:tcW w:type="dxa" w:w="12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第二优先</w:t>
            </w:r>
          </w:p>
        </w:tc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谷地复购稳定后进入</w:t>
            </w:r>
          </w:p>
        </w:tc>
        <w:tc>
          <w:tcPr>
            <w:tcW w:type="dxa" w:w="36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旅游与酒店餐饮强，Foodmandu和连锁零售有入口；冷链承接需实测。</w:t>
            </w:r>
          </w:p>
        </w:tc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MEDIUM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Bharatpur / Chitwan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64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观察与预建名单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60天后视履约验证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人口增长、旅游和餐饮分会存在；高端进口海鲜公开证据少。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LOW</w:t>
            </w:r>
          </w:p>
        </w:tc>
      </w:tr>
      <w:tr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Butwal</w:t>
            </w:r>
          </w:p>
        </w:tc>
        <w:tc>
          <w:tcPr>
            <w:tcW w:type="dxa" w:w="7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59</w:t>
            </w:r>
          </w:p>
        </w:tc>
        <w:tc>
          <w:tcPr>
            <w:tcW w:type="dxa" w:w="12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观察</w:t>
            </w:r>
          </w:p>
        </w:tc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90天后再判断</w:t>
            </w:r>
          </w:p>
        </w:tc>
        <w:tc>
          <w:tcPr>
            <w:tcW w:type="dxa" w:w="36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Foodmandu和连锁零售有覆盖线索，但海鲜需求与冷链证据不足。</w:t>
            </w:r>
          </w:p>
        </w:tc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LOW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Biratnagar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57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观察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不在首阶段投流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商业城市且靠近印度供应通道，竞争与价格压力较高。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LOW</w:t>
            </w:r>
          </w:p>
        </w:tc>
      </w:tr>
      <w:tr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Birgunj</w:t>
            </w:r>
          </w:p>
        </w:tc>
        <w:tc>
          <w:tcPr>
            <w:tcW w:type="dxa" w:w="7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55</w:t>
            </w:r>
          </w:p>
        </w:tc>
        <w:tc>
          <w:tcPr>
            <w:tcW w:type="dxa" w:w="12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观察</w:t>
            </w:r>
          </w:p>
        </w:tc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优先做供应与渠道访谈</w:t>
            </w:r>
          </w:p>
        </w:tc>
        <w:tc>
          <w:tcPr>
            <w:tcW w:type="dxa" w:w="36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重要口岸与商业城市，但消费端和冷链零售证据不足。</w:t>
            </w:r>
          </w:p>
        </w:tc>
        <w:tc>
          <w:tcPr>
            <w:tcW w:type="dxa" w:w="7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LOW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92"/>
        <w:gridCol w:w="3024"/>
        <w:gridCol w:w="1080"/>
        <w:gridCol w:w="2304"/>
      </w:tblGrid>
      <w:tr>
        <w:trPr>
          <w:tblHeader w:val="true"/>
        </w:trPr>
        <w:tc>
          <w:tcPr>
            <w:tcW w:type="dxa" w:w="21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7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评分</w:t>
            </w:r>
          </w:p>
        </w:tc>
        <w:tc>
          <w:tcPr>
            <w:tcW w:type="dxa" w:w="30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适合品类</w:t>
            </w:r>
          </w:p>
        </w:tc>
        <w:tc>
          <w:tcPr>
            <w:tcW w:type="dxa" w:w="10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230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首要验证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餐厅菜品与酒店自助餐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91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虾、鱿鱼、鱼柳、三文鱼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B2B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厨师试样和出成率</w:t>
            </w:r>
          </w:p>
        </w:tc>
      </w:tr>
      <w:tr>
        <w:tc>
          <w:tcPr>
            <w:tcW w:type="dxa" w:w="2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家庭火锅</w:t>
            </w:r>
          </w:p>
        </w:tc>
        <w:tc>
          <w:tcPr>
            <w:tcW w:type="dxa" w:w="7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89</w:t>
            </w:r>
          </w:p>
        </w:tc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虾、鱿鱼圈、鱼片、组合装</w:t>
            </w:r>
          </w:p>
        </w:tc>
        <w:tc>
          <w:tcPr>
            <w:tcW w:type="dxa" w:w="10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B2C</w:t>
            </w:r>
          </w:p>
        </w:tc>
        <w:tc>
          <w:tcPr>
            <w:tcW w:type="dxa" w:w="23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组合装下单与复购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家庭烧烤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86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虾、鱿鱼、鱼柳、调味即烹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B2C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周末与节日需求</w:t>
            </w:r>
          </w:p>
        </w:tc>
      </w:tr>
      <w:tr>
        <w:tc>
          <w:tcPr>
            <w:tcW w:type="dxa" w:w="2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15分钟家庭快手菜</w:t>
            </w:r>
          </w:p>
        </w:tc>
        <w:tc>
          <w:tcPr>
            <w:tcW w:type="dxa" w:w="7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84</w:t>
            </w:r>
          </w:p>
        </w:tc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去壳虾、鱼柳、鱿鱼圈</w:t>
            </w:r>
          </w:p>
        </w:tc>
        <w:tc>
          <w:tcPr>
            <w:tcW w:type="dxa" w:w="10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B2C</w:t>
            </w:r>
          </w:p>
        </w:tc>
        <w:tc>
          <w:tcPr>
            <w:tcW w:type="dxa" w:w="23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做法清晰与少处理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酒店宴会与婚庆餐饮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75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虾、鱼柳、鱿鱼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B2B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档期和大包装报价</w:t>
            </w:r>
          </w:p>
        </w:tc>
      </w:tr>
      <w:tr>
        <w:tc>
          <w:tcPr>
            <w:tcW w:type="dxa" w:w="2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高端聚餐与礼赠</w:t>
            </w:r>
          </w:p>
        </w:tc>
        <w:tc>
          <w:tcPr>
            <w:tcW w:type="dxa" w:w="7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68</w:t>
            </w:r>
          </w:p>
        </w:tc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三文鱼、龙虾候选</w:t>
            </w:r>
          </w:p>
        </w:tc>
        <w:tc>
          <w:tcPr>
            <w:tcW w:type="dxa" w:w="10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B2B/B2C</w:t>
            </w:r>
          </w:p>
        </w:tc>
        <w:tc>
          <w:tcPr>
            <w:tcW w:type="dxa" w:w="23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价格和包装先验证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健身高蛋白餐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66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鱼柳、虾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B2C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营养资料必须真实</w:t>
            </w:r>
          </w:p>
        </w:tc>
      </w:tr>
    </w:tbl>
    <w:p>
      <w:pPr>
        <w:spacing w:after="40"/>
      </w:pPr>
    </w:p>
    <w:p>
      <w:pPr>
        <w:pStyle w:val="Heading1"/>
      </w:pPr>
      <w:r>
        <w:t>市场规模边界</w:t>
      </w:r>
    </w:p>
    <w:p>
      <w:pPr>
        <w:spacing w:before="80" w:after="180"/>
        <w:shd w:fill="FDECEC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不能直接给出精确规模  </w:t>
      </w:r>
      <w:r>
        <w:rPr>
          <w:rFonts w:ascii="Hiragino Sans GB" w:hAnsi="Hiragino Sans GB" w:eastAsia="Hiragino Sans GB"/>
          <w:color w:val="1F2937"/>
          <w:sz w:val="21"/>
        </w:rPr>
        <w:t>目前只有 HS 03 的历史进口口径、公开零售价和城市代理指标。它们不覆盖加工海鲜、非正规贸易、本地销售、损耗和可服务区域，因此不能直接写成 TAM、SAM 或 SOM。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3168"/>
        <w:gridCol w:w="3024"/>
        <w:gridCol w:w="1440"/>
      </w:tblGrid>
      <w:tr>
        <w:trPr>
          <w:tblHeader w:val="true"/>
        </w:trPr>
        <w:tc>
          <w:tcPr>
            <w:tcW w:type="dxa" w:w="17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16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当前可用口径</w:t>
            </w:r>
          </w:p>
        </w:tc>
        <w:tc>
          <w:tcPr>
            <w:tcW w:type="dxa" w:w="30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还缺什么</w:t>
            </w:r>
          </w:p>
        </w:tc>
        <w:tc>
          <w:tcPr>
            <w:tcW w:type="dxa" w:w="14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本轮处理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全国需求参考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人口、收入、鱼类供给和 HS 03 进口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最新贸易、加工海鲜、本地销售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只作背景</w:t>
            </w:r>
          </w:p>
        </w:tc>
      </w:tr>
      <w:tr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可服务市场</w:t>
            </w:r>
          </w:p>
        </w:tc>
        <w:tc>
          <w:tcPr>
            <w:tcW w:type="dxa" w:w="31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加德满都谷地城市、酒店、餐饮、线上零售入口</w:t>
            </w:r>
          </w:p>
        </w:tc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真实冷链半径、可售商品、批发价格</w:t>
            </w:r>
          </w:p>
        </w:tc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 30 天验证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可获得份额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公开组织名单与内容渠道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回复、试单、复购、损耗、毛利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90 天后计算</w:t>
            </w:r>
          </w:p>
        </w:tc>
      </w:tr>
    </w:tbl>
    <w:p>
      <w:pPr>
        <w:spacing w:after="40"/>
      </w:pPr>
    </w:p>
    <w:p>
      <w:pPr>
        <w:pStyle w:val="Heading1"/>
      </w:pPr>
      <w:r>
        <w:t>进入建议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64"/>
        <w:gridCol w:w="8496"/>
      </w:tblGrid>
      <w:tr>
        <w:trPr>
          <w:tblHeader w:val="true"/>
        </w:trPr>
        <w:tc>
          <w:tcPr>
            <w:tcW w:type="dxa" w:w="8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4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把 Kathmandu、Lalitpur、Bhaktapur 当作一个冷链区域，只做可追溯冷冻品。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先试巴沙鱼柳、规格化虾、鱿鱼和即烹组合；三文鱼只做小量高价测试。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先找酒店、亚洲餐厅、冷冻经销和精品零售，做样品、厨师测试、出成率与补货验证。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消费者侧只做烹饪教育、询问收集和小范围配送，不做全国投放。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补齐许可、海关编码、税费、标签、冷链和支付后再谈正式报价与扩大。</w:t>
            </w:r>
          </w:p>
        </w:tc>
      </w:tr>
    </w:tbl>
    <w:p>
      <w:pPr>
        <w:spacing w:after="40"/>
      </w:pPr>
    </w:p>
    <w:p>
      <w:pPr>
        <w:pStyle w:val="Heading1"/>
      </w:pPr>
      <w:r>
        <w:t>需要合作各方补充的关键信息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3816"/>
        <w:gridCol w:w="2376"/>
        <w:gridCol w:w="2376"/>
      </w:tblGrid>
      <w:tr>
        <w:trPr>
          <w:tblHeader w:val="true"/>
        </w:trPr>
        <w:tc>
          <w:tcPr>
            <w:tcW w:type="dxa" w:w="7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381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需要补充</w:t>
            </w:r>
          </w:p>
        </w:tc>
        <w:tc>
          <w:tcPr>
            <w:tcW w:type="dxa" w:w="237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由谁确认</w:t>
            </w:r>
          </w:p>
        </w:tc>
        <w:tc>
          <w:tcPr>
            <w:tcW w:type="dxa" w:w="237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未确认时的处理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P0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尼泊尔进口主体、有效 EXIM Code、DFTQC 许可路径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尼泊尔进口方、报关行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不发货、不承诺到货</w:t>
            </w:r>
          </w:p>
        </w:tc>
      </w:tr>
      <w:tr>
        <w:tc>
          <w:tcPr>
            <w:tcW w:type="dxa" w:w="7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P0</w:t>
            </w:r>
          </w:p>
        </w:tc>
        <w:tc>
          <w:tcPr>
            <w:tcW w:type="dxa" w:w="38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每个商品的准确海关编码、当期税费与所需证明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报关行、当地合规顾问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不做落地成本和正式报价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P0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真实商品、规格、产地、可供价格、库存和有效期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中国供应方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只展示候选方向，不对外销售</w:t>
            </w:r>
          </w:p>
        </w:tc>
      </w:tr>
      <w:tr>
        <w:tc>
          <w:tcPr>
            <w:tcW w:type="dxa" w:w="7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P0</w:t>
            </w:r>
          </w:p>
        </w:tc>
        <w:tc>
          <w:tcPr>
            <w:tcW w:type="dxa" w:w="38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仓储温控、运输方式、配送区域、时效与异常处理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进口方、仓储与配送方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只做资料准备，不接单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P1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包装语言、过敏提示、净重、批号与日期排版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进口方、食品合规顾问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不上架</w:t>
            </w:r>
          </w:p>
        </w:tc>
      </w:tr>
      <w:tr>
        <w:tc>
          <w:tcPr>
            <w:tcW w:type="dxa" w:w="7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P1</w:t>
            </w:r>
          </w:p>
        </w:tc>
        <w:tc>
          <w:tcPr>
            <w:tcW w:type="dxa" w:w="38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收款主体、Fonepay/eSewa/Khalti/COD 接入条件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尼泊尔经营主体、支付服务方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保留人工收款演练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P1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TikTok 实际账号的 LIVE、广告、地区定向后台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账号负责人、平台代表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只做自然内容草稿</w:t>
            </w:r>
          </w:p>
        </w:tc>
      </w:tr>
      <w:tr>
        <w:tc>
          <w:tcPr>
            <w:tcW w:type="dxa" w:w="7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P1</w:t>
            </w:r>
          </w:p>
        </w:tc>
        <w:tc>
          <w:tcPr>
            <w:tcW w:type="dxa" w:w="38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首批样品、试单预算、人员分工和回款规则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项目负责人、合作各方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不扩大外联</w:t>
            </w:r>
          </w:p>
        </w:tc>
      </w:tr>
    </w:tbl>
    <w:p>
      <w:pPr>
        <w:spacing w:after="40"/>
      </w:pPr>
    </w:p>
    <w:p>
      <w:pPr>
        <w:pStyle w:val="Heading1"/>
      </w:pPr>
      <w:r>
        <w:t>来源与引用</w:t>
      </w:r>
    </w:p>
    <w:p>
      <w:pPr>
        <w:spacing w:before="80" w:after="180"/>
        <w:shd w:fill="EDF4FA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阅读方法  </w:t>
      </w:r>
      <w:r>
        <w:rPr>
          <w:rFonts w:ascii="Hiragino Sans GB" w:hAnsi="Hiragino Sans GB" w:eastAsia="Hiragino Sans GB"/>
          <w:color w:val="1F2937"/>
          <w:sz w:val="21"/>
        </w:rPr>
        <w:t>来源按原始页面记录。官方与平台官方来源优先；企业网页用于证明在售、价格和渠道存在，不代表全部市场。动态价格、库存与平台能力在行动前需要重新核对。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5"/>
        <w:gridCol w:w="2175"/>
        <w:gridCol w:w="1714"/>
        <w:gridCol w:w="989"/>
        <w:gridCol w:w="1121"/>
        <w:gridCol w:w="1912"/>
        <w:gridCol w:w="724"/>
      </w:tblGrid>
      <w:tr>
        <w:trPr>
          <w:tblHeader w:val="true"/>
        </w:trPr>
        <w:tc>
          <w:tcPr>
            <w:tcW w:type="dxa" w:w="72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17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71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机构</w:t>
            </w:r>
          </w:p>
        </w:tc>
        <w:tc>
          <w:tcPr>
            <w:tcW w:type="dxa" w:w="98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时间</w:t>
            </w:r>
          </w:p>
        </w:tc>
        <w:tc>
          <w:tcPr>
            <w:tcW w:type="dxa" w:w="11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类别</w:t>
            </w:r>
          </w:p>
        </w:tc>
        <w:tc>
          <w:tcPr>
            <w:tcW w:type="dxa" w:w="19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7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可信度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S01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Nepal country data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World Bank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2024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国际组织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人口、国内生产总值、人均国内生产总值、侨汇占比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S02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National Population and Housing Census 2021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National Statistics Office,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2021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城市人口、家庭数量、城市优先级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S03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Urbanization and Development in Nepal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National Statistics Office,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主要城市人口、增长和密度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S04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7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Nepal Tourism Statistics 2024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Ministry of Culture, Tourism and Civil Aviation,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2024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旅游、酒店与餐饮场景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S05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8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Nepal Tourism Insights June 2026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Tourism Board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旅游恢复与季节性监测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S06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9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Agricultural Statistics Pocket Book 2023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Ministry of Agriculture and Livestock Development,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2023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本地渔业与水产供给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S07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0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Status and Development Trend of Aquaculture and Fisheries in Nepal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FAO AGRIS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2023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学术与国际组织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鱼类产量、养殖占比与人均供给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S08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Unlocking Aquaculture Potential: Strategic Pathways for Its Growth in Nepal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FAO AGRIS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学术与国际组织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鱼类消费与本地养殖扩张趋势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S09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Nepal HS 03 imports and source countries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TrendEconomy based on UN Comtrade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2022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国际贸易数据库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进口额、来源国和品类结构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S10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Annual Foreign Trade Statistics Book 2079-80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Customs,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2022/23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尼泊尔外贸统计原始入口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S20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Monthly Payment Systems Indicators: Asoj 2082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Rastra Bank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移动银行、电子钱包、二维码和电商支付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S21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Payment Systems Department and licensed providers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Rastra Bank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支付服务机构官方入口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S28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Foodmandu company and service locations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Foodmandu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餐饮与杂货配送城市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S29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7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Kanomama seafood catalogue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K.M Food &amp; Processing Pvt. Ltd.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海鲜品类、价格与加德满都谷地配送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S30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8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Valley Cold Store catalogue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Valley Cold Store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冷冻海鲜、加工鱼品和本地零售价格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S31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9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Foodmandu frozen seafood listings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Foodmandu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current listing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鱼柳、虾、干货与三文鱼在售价格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S32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0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Kathmandu Organics frozen products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Kathmandu Organics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本地鳟鱼价格与配送规则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S33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Shree Kathmandu Suppliers frozen prawn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Shree Kathmandu Suppliers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冷冻虾规格和价格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S41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Population, total - Nepal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World Bank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国际组织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最新人口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S42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Urban population (% of total population) - Nepal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World Bank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国际组织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最新城镇化率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S43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GDP per capita (current US$) - Nepal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World Bank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国际组织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最新人均国内生产总值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S44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Nepal Tourism Statistics 2025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Ministry of Culture, Tourism and Civil Aviation,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最新入境旅游量与酒店餐饮需求背景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S45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FAO Fisheries and Aquaculture Profile - Nepal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Food and Agriculture Organization of the United Nations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2022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国际组织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人均鱼类消费与渔业概况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S46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7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Statistical Information on Nepalese Agriculture 2023/24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Ministry of Agriculture and Livestock Development,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2023/24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最新年度鱼类产量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64"/>
        <w:gridCol w:w="8496"/>
      </w:tblGrid>
      <w:tr>
        <w:trPr>
          <w:tblHeader w:val="true"/>
        </w:trPr>
        <w:tc>
          <w:tcPr>
            <w:tcW w:type="dxa" w:w="8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4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先补齐与本文件直接相关的 P0 信息。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由尼泊尔当地责任方复核许可、税费、标签和执行条件。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只在加德满都谷地做小范围真实验证。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把结果写回 CRM，再决定继续、调整或暂停。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尼泊尔海鲜项目｜合作执行资料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data.worldbank.org/country/nepal?locations=NP&amp;page=1" TargetMode="External"/><Relationship Id="rId15" Type="http://schemas.openxmlformats.org/officeDocument/2006/relationships/hyperlink" Target="https://censusnepal.cbs.gov.np/results/files/result-folder/National%20Report_English.pdf" TargetMode="External"/><Relationship Id="rId16" Type="http://schemas.openxmlformats.org/officeDocument/2006/relationships/hyperlink" Target="https://censusnepal.cbs.gov.np/results/files/result-folder/Urbanization%20and%20Development%20in%20Nepal.pdf" TargetMode="External"/><Relationship Id="rId17" Type="http://schemas.openxmlformats.org/officeDocument/2006/relationships/hyperlink" Target="https://tourism.gov.np/content/628/ne-pal-tourism-statistics-2024/" TargetMode="External"/><Relationship Id="rId18" Type="http://schemas.openxmlformats.org/officeDocument/2006/relationships/hyperlink" Target="https://trade.ntb.gov.np/downloads-cat/nepal-tourism-statistics/" TargetMode="External"/><Relationship Id="rId19" Type="http://schemas.openxmlformats.org/officeDocument/2006/relationships/hyperlink" Target="https://moald.gov.np/content/40/agricultural-statistics-pocket-book-2023/" TargetMode="External"/><Relationship Id="rId20" Type="http://schemas.openxmlformats.org/officeDocument/2006/relationships/hyperlink" Target="https://agris.fao.org/search/en/providers/122436/records/68d2a53db3b40a20d6189a7e" TargetMode="External"/><Relationship Id="rId21" Type="http://schemas.openxmlformats.org/officeDocument/2006/relationships/hyperlink" Target="https://agris.fao.org/search/en/providers/122443/records/69b97847ce5e0ae4f878edfb" TargetMode="External"/><Relationship Id="rId22" Type="http://schemas.openxmlformats.org/officeDocument/2006/relationships/hyperlink" Target="https://trendeconomy.com/data/h2/Nepal/03" TargetMode="External"/><Relationship Id="rId23" Type="http://schemas.openxmlformats.org/officeDocument/2006/relationships/hyperlink" Target="https://customs.gov.np/content/43/annual-foreign-trade-statistics-book-2079-80/" TargetMode="External"/><Relationship Id="rId24" Type="http://schemas.openxmlformats.org/officeDocument/2006/relationships/hyperlink" Target="https://www.nrb.org.np/contents/uploads/2025/11/2082_06-PS-Indicator.pdf" TargetMode="External"/><Relationship Id="rId25" Type="http://schemas.openxmlformats.org/officeDocument/2006/relationships/hyperlink" Target="https://www.nrb.org.np/departments/psd/" TargetMode="External"/><Relationship Id="rId26" Type="http://schemas.openxmlformats.org/officeDocument/2006/relationships/hyperlink" Target="https://foodmandu.com/Home/About" TargetMode="External"/><Relationship Id="rId27" Type="http://schemas.openxmlformats.org/officeDocument/2006/relationships/hyperlink" Target="https://www.kanomama.com/" TargetMode="External"/><Relationship Id="rId28" Type="http://schemas.openxmlformats.org/officeDocument/2006/relationships/hyperlink" Target="https://sewapoint.com/sellers/valley-cold-store-nayabazar-kathmandu/" TargetMode="External"/><Relationship Id="rId29" Type="http://schemas.openxmlformats.org/officeDocument/2006/relationships/hyperlink" Target="https://foodmandu.com/Restaurant/Details/1205" TargetMode="External"/><Relationship Id="rId30" Type="http://schemas.openxmlformats.org/officeDocument/2006/relationships/hyperlink" Target="https://www.kathmanduorganics.com/frozen" TargetMode="External"/><Relationship Id="rId31" Type="http://schemas.openxmlformats.org/officeDocument/2006/relationships/hyperlink" Target="https://kathmandusuppliers.com.np/frozen-prawn" TargetMode="External"/><Relationship Id="rId32" Type="http://schemas.openxmlformats.org/officeDocument/2006/relationships/hyperlink" Target="https://data.worldbank.org/indicator/SP.POP.TOTL?locations=NP" TargetMode="External"/><Relationship Id="rId33" Type="http://schemas.openxmlformats.org/officeDocument/2006/relationships/hyperlink" Target="https://data.worldbank.org/indicator/SP.URB.TOTL.IN.ZS?locations=NP" TargetMode="External"/><Relationship Id="rId34" Type="http://schemas.openxmlformats.org/officeDocument/2006/relationships/hyperlink" Target="https://data.worldbank.org/indicator/NY.GDP.PCAP.CD?locations=NP" TargetMode="External"/><Relationship Id="rId35" Type="http://schemas.openxmlformats.org/officeDocument/2006/relationships/hyperlink" Target="https://giwmscdnone.gov.np/media/pdf_upload/Nepal%20tourism%20statistics%202025_ibddtm6.pdf" TargetMode="External"/><Relationship Id="rId36" Type="http://schemas.openxmlformats.org/officeDocument/2006/relationships/hyperlink" Target="https://www.fao.org/fishery/facp/npl/en" TargetMode="External"/><Relationship Id="rId37" Type="http://schemas.openxmlformats.org/officeDocument/2006/relationships/hyperlink" Target="https://giwmscdnone.gov.np/media/pdf_upload/MOALD-Statical-Book-Magre-2081-Final_wgfs8ph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01_尼泊尔海鲜市场深度调研报告</dc:title>
  <dc:subject>中国供应链向尼泊尔销售海鲜产品的合作执行资料</dc:subject>
  <dc:creator>项目研究与规划工作组</dc:creator>
  <cp:keywords/>
  <dc:description>公开研究与试点方案；未确认事项保持待验证。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