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</w:pPr>
      <w:r>
        <w:rPr>
          <w:rFonts w:ascii="Hiragino Sans GB" w:hAnsi="Hiragino Sans GB" w:eastAsia="Hiragino Sans GB"/>
          <w:b/>
          <w:color w:val="1F4D78"/>
          <w:sz w:val="44"/>
        </w:rPr>
        <w:t>城市、人群、场景优先级评分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先在可控区域验证，再决定是否扩城</w:t>
      </w:r>
    </w:p>
    <w:p>
      <w:pPr>
        <w:spacing w:after="360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城市排序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B2B群体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B2C群体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消费场景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进入顺序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验证方式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城市排序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69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_sc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69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i/>
          <w:color w:val="667085"/>
          <w:sz w:val="17"/>
        </w:rPr>
        <w:t>评分用于排工作顺序；不等于销售额预测。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648"/>
        <w:gridCol w:w="1008"/>
        <w:gridCol w:w="1224"/>
        <w:gridCol w:w="3240"/>
        <w:gridCol w:w="792"/>
        <w:gridCol w:w="1224"/>
      </w:tblGrid>
      <w:tr>
        <w:trPr>
          <w:tblHeader w:val="true"/>
        </w:trPr>
        <w:tc>
          <w:tcPr>
            <w:tcW w:type="dxa" w:w="12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城市</w:t>
            </w:r>
          </w:p>
        </w:tc>
        <w:tc>
          <w:tcPr>
            <w:tcW w:type="dxa" w:w="6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评分</w:t>
            </w:r>
          </w:p>
        </w:tc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12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动作</w:t>
            </w:r>
          </w:p>
        </w:tc>
        <w:tc>
          <w:tcPr>
            <w:tcW w:type="dxa" w:w="32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理由</w:t>
            </w:r>
          </w:p>
        </w:tc>
        <w:tc>
          <w:tcPr>
            <w:tcW w:type="dxa" w:w="7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  <w:tc>
          <w:tcPr>
            <w:tcW w:type="dxa" w:w="12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Kathmandu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91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第一优先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首批启动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人口与商业密度最高；酒店、协会、线上零售和海鲜在售证据最集中。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S02,S03,S04,S28,S29,S34,S36,S38</w:t>
            </w:r>
          </w:p>
        </w:tc>
      </w:tr>
      <w:tr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Lalitpur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87</w:t>
            </w:r>
          </w:p>
        </w:tc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第一优先</w:t>
            </w:r>
          </w:p>
        </w:tc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与Kathmandu同一配送单元启动</w:t>
            </w:r>
          </w:p>
        </w:tc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高密度城市、餐饮与Kanomama所在地，适合并入谷地服务圈。</w:t>
            </w:r>
          </w:p>
        </w:tc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S02,S03,S29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Bhaktapur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81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第一优先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与谷地同批但限配送半径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可共享谷地渠道；需要实际冷链时效确认。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S02,S28,S34</w:t>
            </w:r>
          </w:p>
        </w:tc>
      </w:tr>
      <w:tr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Pokhara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75</w:t>
            </w:r>
          </w:p>
        </w:tc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第二优先</w:t>
            </w:r>
          </w:p>
        </w:tc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谷地复购稳定后进入</w:t>
            </w:r>
          </w:p>
        </w:tc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旅游与酒店餐饮强，Foodmandu和连锁零售有入口；冷链承接需实测。</w:t>
            </w:r>
          </w:p>
        </w:tc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S03,S04,S05,S28,S34,S37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Bharatpur / Chitwan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64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观察与预建名单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60天后视履约验证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人口增长、旅游和餐饮分会存在；高端进口海鲜公开证据少。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LOW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S03,S28,S38</w:t>
            </w:r>
          </w:p>
        </w:tc>
      </w:tr>
      <w:tr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Butwal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59</w:t>
            </w:r>
          </w:p>
        </w:tc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观察</w:t>
            </w:r>
          </w:p>
        </w:tc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90天后再判断</w:t>
            </w:r>
          </w:p>
        </w:tc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Foodmandu和连锁零售有覆盖线索，但海鲜需求与冷链证据不足。</w:t>
            </w:r>
          </w:p>
        </w:tc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LOW</w:t>
            </w:r>
          </w:p>
        </w:tc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S28,S34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Biratnagar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57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观察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不在首阶段投流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商业城市且靠近印度供应通道，竞争与价格压力较高。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LOW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S03,S34</w:t>
            </w:r>
          </w:p>
        </w:tc>
      </w:tr>
      <w:tr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Birgunj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55</w:t>
            </w:r>
          </w:p>
        </w:tc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观察</w:t>
            </w:r>
          </w:p>
        </w:tc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优先做供应与渠道访谈</w:t>
            </w:r>
          </w:p>
        </w:tc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重要口岸与商业城市，但消费端和冷链零售证据不足。</w:t>
            </w:r>
          </w:p>
        </w:tc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LOW</w:t>
            </w:r>
          </w:p>
        </w:tc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S03,S34</w:t>
            </w:r>
          </w:p>
        </w:tc>
      </w:tr>
    </w:tbl>
    <w:p>
      <w:pPr>
        <w:spacing w:after="40"/>
      </w:pPr>
    </w:p>
    <w:p>
      <w:pPr>
        <w:pStyle w:val="Heading1"/>
      </w:pPr>
      <w:r>
        <w:t>B2B群体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648"/>
        <w:gridCol w:w="1080"/>
        <w:gridCol w:w="3168"/>
        <w:gridCol w:w="1944"/>
        <w:gridCol w:w="720"/>
      </w:tblGrid>
      <w:tr>
        <w:trPr>
          <w:tblHeader w:val="true"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群体</w:t>
            </w:r>
          </w:p>
        </w:tc>
        <w:tc>
          <w:tcPr>
            <w:tcW w:type="dxa" w:w="6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评分</w:t>
            </w:r>
          </w:p>
        </w:tc>
        <w:tc>
          <w:tcPr>
            <w:tcW w:type="dxa" w:w="10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16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需求逻辑</w:t>
            </w:r>
          </w:p>
        </w:tc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首要验证</w:t>
            </w:r>
          </w:p>
        </w:tc>
        <w:tc>
          <w:tcPr>
            <w:tcW w:type="dxa" w:w="7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来源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高端酒店与度假村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稳定菜单、宴会和早餐/自助餐需求；HAN名录可触达。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试样、厨师测试、交货稳定性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S36,S37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日料、韩餐、中餐、西餐与火锅门店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86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品类适配明确，虾、鱿鱼、鱼柳、三文鱼可直接进入菜品测试。</w:t>
            </w:r>
          </w:p>
        </w:tc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厨师反馈、出成率、菜单毛利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S38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冷冻食品经销与批发单位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可放大覆盖并承接冷库与配送；同时也可能是竞争者。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区域、冷库、最低订货量、账期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S29,S30,S33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高端食品店与连锁超市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80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家庭包装与即烹产品需要零售陈列和信任背书。</w:t>
            </w:r>
          </w:p>
        </w:tc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上架费、损耗、退货、条码、促销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S34,S35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宴会与婚庆餐饮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72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第二优先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单次需求大但波动和价格敏感明显。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档期、套餐、定金、食安责任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S38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旅游餐饮供应单位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69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第二优先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可触达酒店、度假村和旅游餐饮，但供货稳定性要求高。</w:t>
            </w:r>
          </w:p>
        </w:tc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覆盖城市、冷链交接和回款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S36,S39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云厨房与外卖餐饮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66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第二优先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可快速测试新品，但持续采购量和品牌呈现有限。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单店销量、包装和配送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S28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企业食堂与团餐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58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暂缓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可能有量，但价格、招采与菜单接受度不确定。</w:t>
            </w:r>
          </w:p>
        </w:tc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招采周期和预算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S39,S40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海鲜进口与加工单位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55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谨慎合作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可能拥有资质与冷链，也可能与本项目直接竞争。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边界、区域和信息保密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S29,S30</w:t>
            </w:r>
          </w:p>
        </w:tc>
      </w:tr>
    </w:tbl>
    <w:p>
      <w:pPr>
        <w:spacing w:after="40"/>
      </w:pPr>
    </w:p>
    <w:p>
      <w:pPr>
        <w:pStyle w:val="Heading1"/>
      </w:pPr>
      <w:r>
        <w:t>B2C群体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648"/>
        <w:gridCol w:w="1080"/>
        <w:gridCol w:w="3528"/>
        <w:gridCol w:w="1872"/>
      </w:tblGrid>
      <w:tr>
        <w:trPr>
          <w:tblHeader w:val="true"/>
        </w:trPr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群体</w:t>
            </w:r>
          </w:p>
        </w:tc>
        <w:tc>
          <w:tcPr>
            <w:tcW w:type="dxa" w:w="6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评分</w:t>
            </w:r>
          </w:p>
        </w:tc>
        <w:tc>
          <w:tcPr>
            <w:tcW w:type="dxa" w:w="10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5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需求逻辑</w:t>
            </w:r>
          </w:p>
        </w:tc>
        <w:tc>
          <w:tcPr>
            <w:tcW w:type="dxa" w:w="18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首要验证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加德满都谷地中高收入家庭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有购买力和家庭配送条件，适合500克至1千克包装。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真实下单、复购、拒绝原因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火锅、烧烤与家庭聚餐人群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87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5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场景强、内容表现好，适合组合装与简单做法。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组合装转化、聚餐前购买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在尼外国人与中国人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对进口海鲜更熟悉，可作为早期验证，不可代替本地需求。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语言偏好、复购、产品认知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年轻上班族与即烹需求人群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82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5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需要少处理、定量包装和清晰做法。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15分钟做法内容、下单时段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美食爱好者与主厨内容关注者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78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第二优先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愿意学习新做法，适合新品内容测试。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收藏、咨询、试购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健身与高蛋白饮食人群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68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第二优先</w:t>
            </w:r>
          </w:p>
        </w:tc>
        <w:tc>
          <w:tcPr>
            <w:tcW w:type="dxa" w:w="35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鱼柳和虾适配，但不能做未经证实的健康功效承诺。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营养信息与实际购买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节日与送礼人群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62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第二优先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需要包装、价格和品牌信任，供应资料不足前不启动。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礼盒概念与价格测试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普通家庭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49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暂缓广投</w:t>
            </w:r>
          </w:p>
        </w:tc>
        <w:tc>
          <w:tcPr>
            <w:tcW w:type="dxa" w:w="35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全国收入与冷链差异大，进口海鲜可能价格过高。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低价鱼柳和小包装测试</w:t>
            </w:r>
          </w:p>
        </w:tc>
      </w:tr>
    </w:tbl>
    <w:p>
      <w:pPr>
        <w:spacing w:after="40"/>
      </w:pPr>
    </w:p>
    <w:p>
      <w:pPr>
        <w:pStyle w:val="Heading1"/>
      </w:pPr>
      <w:r>
        <w:t>消费场景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20"/>
        <w:gridCol w:w="2952"/>
        <w:gridCol w:w="1008"/>
        <w:gridCol w:w="2448"/>
      </w:tblGrid>
      <w:tr>
        <w:trPr>
          <w:tblHeader w:val="true"/>
        </w:trPr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7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29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适合品类</w:t>
            </w:r>
          </w:p>
        </w:tc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24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首要验证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餐厅菜品与酒店自助餐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91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虾、鱿鱼、鱼柳、三文鱼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B2B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厨师试样和出成率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家庭火锅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89</w:t>
            </w:r>
          </w:p>
        </w:tc>
        <w:tc>
          <w:tcPr>
            <w:tcW w:type="dxa" w:w="29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虾、鱿鱼圈、鱼片、组合装</w:t>
            </w:r>
          </w:p>
        </w:tc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B2C</w:t>
            </w:r>
          </w:p>
        </w:tc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组合装下单与复购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家庭烧烤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86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虾、鱿鱼、鱼柳、调味即烹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B2C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周末与节日需求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15分钟家庭快手菜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84</w:t>
            </w:r>
          </w:p>
        </w:tc>
        <w:tc>
          <w:tcPr>
            <w:tcW w:type="dxa" w:w="29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去壳虾、鱼柳、鱿鱼圈</w:t>
            </w:r>
          </w:p>
        </w:tc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B2C</w:t>
            </w:r>
          </w:p>
        </w:tc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做法清晰与少处理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酒店宴会与婚庆餐饮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75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虾、鱼柳、鱿鱼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B2B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档期和大包装报价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高端聚餐与礼赠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68</w:t>
            </w:r>
          </w:p>
        </w:tc>
        <w:tc>
          <w:tcPr>
            <w:tcW w:type="dxa" w:w="29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三文鱼、龙虾候选</w:t>
            </w:r>
          </w:p>
        </w:tc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B2B/B2C</w:t>
            </w:r>
          </w:p>
        </w:tc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价格和包装先验证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健身高蛋白餐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66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鱼柳、虾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B2C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营养资料必须真实</w:t>
            </w:r>
          </w:p>
        </w:tc>
      </w:tr>
    </w:tbl>
    <w:p>
      <w:pPr>
        <w:spacing w:after="40"/>
      </w:pPr>
    </w:p>
    <w:p>
      <w:pPr>
        <w:pStyle w:val="Heading1"/>
      </w:pPr>
      <w:r>
        <w:t>进入顺序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加德满都谷地：餐厅、酒店、冷冻经销、精品零售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加德满都谷地：家庭聚餐和年轻专业人士的小范围配送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Pokhara：只有在谷地出现稳定补货后进入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Bharatpur、Butwal、Biratnagar、Birgunj：先做名单和配送条件观察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其他城市：不做先期库存和付费投放</w:t>
            </w:r>
          </w:p>
        </w:tc>
      </w:tr>
    </w:tbl>
    <w:p>
      <w:pPr>
        <w:spacing w:after="40"/>
      </w:pPr>
    </w:p>
    <w:p>
      <w:pPr>
        <w:pStyle w:val="Heading1"/>
      </w:pPr>
      <w:r>
        <w:t>验证方式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2592"/>
        <w:gridCol w:w="2592"/>
        <w:gridCol w:w="2592"/>
      </w:tblGrid>
      <w:tr>
        <w:trPr>
          <w:tblHeader w:val="true"/>
        </w:trPr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30天要看什么</w:t>
            </w:r>
          </w:p>
        </w:tc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60天要看什么</w:t>
            </w:r>
          </w:p>
        </w:tc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90天怎么判断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城市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有效回复、可送地址、配送时效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试单与拒绝原因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补货、损耗和单位贡献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B2B群体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厨师或采购讨论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样品、出成率、账期要求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稳定补货与回款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消费者群体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询问、加购、价格反馈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首单、配送、售后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复购和推荐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场景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内容互动和真实需求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同一场景的多次成交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能否复制而不增加异常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来源与引用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阅读方法  </w:t>
      </w:r>
      <w:r>
        <w:rPr>
          <w:rFonts w:ascii="Hiragino Sans GB" w:hAnsi="Hiragino Sans GB" w:eastAsia="Hiragino Sans GB"/>
          <w:color w:val="1F2937"/>
          <w:sz w:val="21"/>
        </w:rPr>
        <w:t>来源按原始页面记录。官方与平台官方来源优先；企业网页用于证明在售、价格和渠道存在，不代表全部市场。动态价格、库存与平台能力在行动前需要重新核对。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"/>
        <w:gridCol w:w="2175"/>
        <w:gridCol w:w="1714"/>
        <w:gridCol w:w="989"/>
        <w:gridCol w:w="1121"/>
        <w:gridCol w:w="1912"/>
        <w:gridCol w:w="724"/>
      </w:tblGrid>
      <w:tr>
        <w:trPr>
          <w:tblHeader w:val="true"/>
        </w:trPr>
        <w:tc>
          <w:tcPr>
            <w:tcW w:type="dxa" w:w="7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9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1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9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country data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2024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人口、国内生产总值、人均国内生产总值、侨汇占比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National Population and Housing Census 2021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National Statistics Office,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2021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城市人口、家庭数量、城市优先级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Urbanization and Development in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National Statistics Office,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主要城市人口、增长和密度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Tourism Statistics 2024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Ministry of Culture, Tourism and Civil Aviation,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2024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旅游、酒店与餐饮场景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S05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Tourism Insights June 2026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Tourism Board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旅游恢复与季节性监测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Foodmandu company and service locations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Foodmandu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餐饮与杂货配送城市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S34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Bhat-Bhateni stores and contact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Bhat-Bhateni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全国连锁零售入口和城市覆盖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S35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Bigmart online store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Bigmart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加德满都线上零售与即时配送入口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S36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Hotel Association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Hotel Association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酒店名单与采购单位入口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S37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Hotel Association Nepal membership database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Hotel Association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酒店和度假村名单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S38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Restaurant and Bar Association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REBAN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餐饮采购单位与地区分会入口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S39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FNCCI member database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Federation of Nepalese Chambers of Commerce and Industry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地区商会与企业名单入口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S40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Chamber of Commerce committees and contact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Chamber of Commerce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商业网络与行业委员会入口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</w:pPr>
      <w:r>
        <w:t>执行前确认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1584"/>
        <w:gridCol w:w="4032"/>
      </w:tblGrid>
      <w:tr>
        <w:trPr>
          <w:tblHeader w:val="true"/>
        </w:trPr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真实商品、价格、库存与有效期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由中国供应方提供并持续更新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进口许可、海关编码、税费与标签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由尼泊尔进口方和报关行逐品复核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冷链、配送、支付与售后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在加德满都谷地完成真实演练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真实联系、投放、订单与复购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未执行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人工批准后小范围开展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先补齐与本文件直接相关的 P0 信息。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由尼泊尔当地责任方复核许可、税费、标签和执行条件。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只在加德满都谷地做小范围真实验证。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把结果写回 CRM，再决定继续、调整或暂停。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data.worldbank.org/country/nepal?locations=NP&amp;page=1" TargetMode="External"/><Relationship Id="rId13" Type="http://schemas.openxmlformats.org/officeDocument/2006/relationships/hyperlink" Target="https://censusnepal.cbs.gov.np/results/files/result-folder/National%20Report_English.pdf" TargetMode="External"/><Relationship Id="rId14" Type="http://schemas.openxmlformats.org/officeDocument/2006/relationships/hyperlink" Target="https://censusnepal.cbs.gov.np/results/files/result-folder/Urbanization%20and%20Development%20in%20Nepal.pdf" TargetMode="External"/><Relationship Id="rId15" Type="http://schemas.openxmlformats.org/officeDocument/2006/relationships/hyperlink" Target="https://tourism.gov.np/content/628/ne-pal-tourism-statistics-2024/" TargetMode="External"/><Relationship Id="rId16" Type="http://schemas.openxmlformats.org/officeDocument/2006/relationships/hyperlink" Target="https://trade.ntb.gov.np/downloads-cat/nepal-tourism-statistics/" TargetMode="External"/><Relationship Id="rId17" Type="http://schemas.openxmlformats.org/officeDocument/2006/relationships/hyperlink" Target="https://foodmandu.com/Home/About" TargetMode="External"/><Relationship Id="rId18" Type="http://schemas.openxmlformats.org/officeDocument/2006/relationships/hyperlink" Target="https://bbsm.com.np/index.php" TargetMode="External"/><Relationship Id="rId19" Type="http://schemas.openxmlformats.org/officeDocument/2006/relationships/hyperlink" Target="https://bigmart.com.np/" TargetMode="External"/><Relationship Id="rId20" Type="http://schemas.openxmlformats.org/officeDocument/2006/relationships/hyperlink" Target="https://hotelassociationnepal.org.np/index.php" TargetMode="External"/><Relationship Id="rId21" Type="http://schemas.openxmlformats.org/officeDocument/2006/relationships/hyperlink" Target="https://hotelassociationnepal.org.np/storage/Membership%20database.pdf" TargetMode="External"/><Relationship Id="rId22" Type="http://schemas.openxmlformats.org/officeDocument/2006/relationships/hyperlink" Target="https://rebannepal.com/" TargetMode="External"/><Relationship Id="rId23" Type="http://schemas.openxmlformats.org/officeDocument/2006/relationships/hyperlink" Target="https://www.fncci.org/" TargetMode="External"/><Relationship Id="rId24" Type="http://schemas.openxmlformats.org/officeDocument/2006/relationships/hyperlink" Target="https://ncc.org.np/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03_城市_人群_场景优先级评分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