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B2B线上销售全渠道方案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从公开名单到样品、试单和补货的可控路径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战略重点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采购群体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渠道组合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成交路径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人工确认点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30天指标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战略重点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主线  </w:t>
      </w:r>
      <w:r>
        <w:rPr>
          <w:rFonts w:ascii="Hiragino Sans GB" w:hAnsi="Hiragino Sans GB" w:eastAsia="Hiragino Sans GB"/>
          <w:color w:val="1F2937"/>
          <w:sz w:val="21"/>
        </w:rPr>
        <w:t>首阶段把线上渠道当作“发现与沟通工具”，把样品、厨师测试、正式报价、合同与回款交给人工确认。目标是补货，不是名单数量。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168"/>
        <w:gridCol w:w="2952"/>
        <w:gridCol w:w="2304"/>
      </w:tblGrid>
      <w:tr>
        <w:trPr>
          <w:tblHeader w:val="true"/>
        </w:trPr>
        <w:tc>
          <w:tcPr>
            <w:tcW w:type="dxa" w:w="9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优先层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核心商品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首要动作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高端酒店、度假村、亚洲餐厅与火锅门店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规格化虾、鱿鱼、鱼柳、少量三文鱼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厨师测试、出成率和稳定交货</w:t>
            </w:r>
          </w:p>
        </w:tc>
      </w:tr>
      <w:tr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冷冻经销、批发与精品零售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鱼柳、虾、鱿鱼、即烹组合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覆盖区域、冷库、上架与退货条件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宴会、旅游餐饮、云厨房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大包装虾、鱼柳、鱿鱼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档期、单次用量和回款</w:t>
            </w:r>
          </w:p>
        </w:tc>
      </w:tr>
      <w:tr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团餐与宽泛企业采购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待价格与招采验证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不先投入大量时间</w:t>
            </w:r>
          </w:p>
        </w:tc>
      </w:tr>
    </w:tbl>
    <w:p>
      <w:pPr>
        <w:spacing w:after="40"/>
      </w:pPr>
    </w:p>
    <w:p>
      <w:pPr>
        <w:pStyle w:val="Heading1"/>
      </w:pPr>
      <w:r>
        <w:t>采购群体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48"/>
        <w:gridCol w:w="1080"/>
        <w:gridCol w:w="3096"/>
        <w:gridCol w:w="2016"/>
        <w:gridCol w:w="72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采购群体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需求逻辑</w:t>
            </w:r>
          </w:p>
        </w:tc>
        <w:tc>
          <w:tcPr>
            <w:tcW w:type="dxa" w:w="20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首要验证</w:t>
            </w:r>
          </w:p>
        </w:tc>
        <w:tc>
          <w:tcPr>
            <w:tcW w:type="dxa" w:w="7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高端酒店与度假村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稳定菜单、宴会和早餐/自助餐需求；HAN名录可触达。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试样、厨师测试、交货稳定性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S36,S37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日料、韩餐、中餐、西餐与火锅门店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86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品类适配明确，虾、鱿鱼、鱼柳、三文鱼可直接进入菜品测试。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厨师反馈、出成率、菜单毛利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冷冻食品经销与批发单位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可放大覆盖并承接冷库与配送；同时也可能是竞争者。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区域、冷库、最低订货量、账期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S29,S30,S33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高端食品店与连锁超市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80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家庭包装与即烹产品需要零售陈列和信任背书。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上架费、损耗、退货、条码、促销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S34,S35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宴会与婚庆餐饮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单次需求大但波动和价格敏感明显。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档期、套餐、定金、食安责任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S38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旅游餐饮供应单位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69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可触达酒店、度假村和旅游餐饮，但供货稳定性要求高。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覆盖城市、冷链交接和回款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S36,S39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云厨房与外卖餐饮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可快速测试新品，但持续采购量和品牌呈现有限。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单店销量、包装和配送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S28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企业食堂与团餐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58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暂缓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可能有量，但价格、招采与菜单接受度不确定。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招采周期和预算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S39,S40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海鲜进口与加工单位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谨慎合作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可能拥有资质与冷链，也可能与本项目直接竞争。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边界、区域和信息保密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S29,S30</w:t>
            </w:r>
          </w:p>
        </w:tc>
      </w:tr>
    </w:tbl>
    <w:p>
      <w:pPr>
        <w:spacing w:after="40"/>
      </w:pPr>
    </w:p>
    <w:p>
      <w:pPr>
        <w:pStyle w:val="Heading1"/>
      </w:pPr>
      <w:r>
        <w:t>渠道组合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48"/>
        <w:gridCol w:w="948"/>
        <w:gridCol w:w="1422"/>
        <w:gridCol w:w="1066"/>
        <w:gridCol w:w="1540"/>
        <w:gridCol w:w="652"/>
        <w:gridCol w:w="1244"/>
        <w:gridCol w:w="948"/>
        <w:gridCol w:w="592"/>
      </w:tblGrid>
      <w:tr>
        <w:trPr>
          <w:tblHeader w:val="true"/>
        </w:trPr>
        <w:tc>
          <w:tcPr>
            <w:tcW w:type="dxa" w:w="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渠道</w:t>
            </w:r>
          </w:p>
        </w:tc>
        <w:tc>
          <w:tcPr>
            <w:tcW w:type="dxa" w:w="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可用性</w:t>
            </w:r>
          </w:p>
        </w:tc>
        <w:tc>
          <w:tcPr>
            <w:tcW w:type="dxa" w:w="14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适合对象</w:t>
            </w:r>
          </w:p>
        </w:tc>
        <w:tc>
          <w:tcPr>
            <w:tcW w:type="dxa" w:w="106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可用信息</w:t>
            </w:r>
          </w:p>
        </w:tc>
        <w:tc>
          <w:tcPr>
            <w:tcW w:type="dxa" w:w="15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推进方式</w:t>
            </w:r>
          </w:p>
        </w:tc>
        <w:tc>
          <w:tcPr>
            <w:tcW w:type="dxa" w:w="6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AI作用</w:t>
            </w:r>
          </w:p>
        </w:tc>
        <w:tc>
          <w:tcPr>
            <w:tcW w:type="dxa" w:w="12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风险</w:t>
            </w:r>
          </w:p>
        </w:tc>
        <w:tc>
          <w:tcPr>
            <w:tcW w:type="dxa" w:w="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指标</w:t>
            </w:r>
          </w:p>
        </w:tc>
        <w:tc>
          <w:tcPr>
            <w:tcW w:type="dxa" w:w="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来源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Google Search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酒店、餐厅、经销单位、进口与冷冻食品商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官网、目录、新闻、地图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公开页面检索→去重→官网复核→人工联系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关键词过宽；不能抓取非公开信息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每周有效新名单、回复率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S36,S37,S38,S39</w:t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Google Maps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本地餐厅、酒店、食品店、冷库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公开地址、电话、网站、营业类别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按城市和类别检索→官网二次确认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地图信息可能过期；联系前复核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有效联系方式率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Association Nepal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已确认有300+成员并提供名单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酒店与度假村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会员名录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按星级与城市分组→查采购入口→人工试样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协会成员不等于采购意愿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会面数、试样数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S36,S37</w:t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Nepal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已确认有地区分会和餐饮成员网络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餐厅、酒吧、宴会餐饮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协会与地区分会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分会合作→餐饮名单→厨师试样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成员数量由协会自述；逐家仍需核验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厨师测试数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FNCCI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已确认有地区与行业成员检索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经销商、商会、食品企业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成员数据库与地方商会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地区+食品类别筛选→官网复核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类别可能不细；避免无差别触达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合格采购单位数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S39</w:t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Nepal Chamber of Commerce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进口、零售、技术与供应链合作单位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委员会与公开联系入口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委员会引荐→一对一会谈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不把商会关系当成采购承诺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有效引荐数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S40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LinkedIn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平台存在，尼泊尔地区覆盖需逐账户验证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酒店采购、餐饮负责人、零售管理人员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公开职业资料与企业页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企业优先→职位匹配→人工个性化联系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不得批量抓取或高频群发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接受连接率、回复率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Facebook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截至2026年需现场确认账号与地区可访问性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餐厅、酒店、食品商与社群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企业公开主页、活动与群组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公开页面发现→官网复核→人工沟通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尼泊尔曾出现社交平台政策波动；不可作为唯一渠道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有效对话数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Instagram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截至2026年需现场确认账号与地区可访问性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餐饮、主厨、进口食品店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企业公开主页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内容合作与私信转官网/电话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不要自动群发或冒充真人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回复率、会面率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内容平台已确认可访问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餐厅、主厨、零售商的公开账号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公开视频与企业主页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内容发现→官网/电话→人工商务沟通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Shop不支持尼泊尔；广告能力需后台确认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合作询问数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S22,S23,S24,S26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WhatsApp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需要实际号码与本地可用性确认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已有公开号码的采购单位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官网公开联系方式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仅在有业务依据后点对点沟通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不得批量添加、无差别群发或反复打扰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回复与停止联系执行率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Viber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尼泊尔使用与注册状态有公开线索，需现场复核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本地商户与已有联系人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官网公开号码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人工首触达→经同意后跟进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必须尊重拒绝与退订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有效对话数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Email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酒店、协会、连锁零售与企业采购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官网公开邮箱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个性化邮件→7天一次跟进→最多3次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反垃圾规则与声誉风险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送达、回复、会面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企业官网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已确认是核心真值入口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所有采购单位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官网联系页、产品页、分店页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用于身份复核和人工联系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网站可能过期；与地图/协会交叉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官网复核率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企业黄页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可作为发现入口，质量不一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长尾餐饮与食品商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公开企业目录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只做发现→官网或电话二次核验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低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陈旧、重复与错误较多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二次核验通过率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海关与贸易数据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有公开统计，企业级完整名单常需付费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进口商与品类趋势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海关统计、UN Comtrade/WITS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先看品类与来源→再查公开企业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免费数据粒度有限；不伪装成完整企业名单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可验证进口单位数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S09,S10</w:t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酒店与餐厅预订平台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可作为门店发现入口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酒店、度假村、餐厅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公开门店和菜单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按城市/菜系筛选→官网复核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评价与排名不代表采购能力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有效门店率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招标与采购公告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需要持续监测</w:t>
            </w:r>
          </w:p>
        </w:tc>
        <w:tc>
          <w:tcPr>
            <w:tcW w:type="dxa" w:w="14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酒店集团、机构餐饮与团餐</w:t>
            </w:r>
          </w:p>
        </w:tc>
        <w:tc>
          <w:tcPr>
            <w:tcW w:type="dxa" w:w="10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官网公告与政府采购入口</w:t>
            </w:r>
          </w:p>
        </w:tc>
        <w:tc>
          <w:tcPr>
            <w:tcW w:type="dxa" w:w="1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关键词订阅→人工审查→正式投标</w:t>
            </w:r>
          </w:p>
        </w:tc>
        <w:tc>
          <w:tcPr>
            <w:tcW w:type="dxa" w:w="6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低</w:t>
            </w:r>
          </w:p>
        </w:tc>
        <w:tc>
          <w:tcPr>
            <w:tcW w:type="dxa" w:w="12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资质和周期长，首阶段不作为主线</w:t>
            </w:r>
          </w:p>
        </w:tc>
        <w:tc>
          <w:tcPr>
            <w:tcW w:type="dxa" w:w="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合格公告数</w:t>
            </w:r>
          </w:p>
        </w:tc>
        <w:tc>
          <w:tcPr>
            <w:tcW w:type="dxa" w:w="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本地行业社群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需当地人员确认真实活跃度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主厨、餐饮经营者、食品商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协会活动与线下社群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人工引荐和小型试样会</w:t>
            </w:r>
          </w:p>
        </w:tc>
        <w:tc>
          <w:tcPr>
            <w:tcW w:type="dxa" w:w="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不可用自动账号渗透或伪装身份</w:t>
            </w:r>
          </w:p>
        </w:tc>
        <w:tc>
          <w:tcPr>
            <w:tcW w:type="dxa" w:w="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有效引荐数</w:t>
            </w:r>
          </w:p>
        </w:tc>
        <w:tc>
          <w:tcPr>
            <w:tcW w:type="dxa" w:w="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S36,S38,S39</w:t>
            </w:r>
          </w:p>
        </w:tc>
      </w:tr>
    </w:tbl>
    <w:p>
      <w:pPr>
        <w:spacing w:after="40"/>
      </w:pPr>
    </w:p>
    <w:p>
      <w:pPr>
        <w:pStyle w:val="Heading1"/>
      </w:pPr>
      <w:r>
        <w:t>成交路径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从协会、官网、地图和公开目录发现组织入口，保留原始链接。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按城市、业态、菜单适配、冷链能力和公开信息完整度排序。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AI只生成个性化联系草稿，人工核实后从公开商务入口发送。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有效回复后先确认品类、规格、用量、现有供应、痛点和决策流程。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供应链真值通过后才给正式报价；样品、账期、独家与合同都要批准。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每次样品、试单、配送、异常、回款和补货都写回 CRM。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30、60、90 天按试单和补货决定继续、调整或暂停。</w:t>
            </w:r>
          </w:p>
        </w:tc>
      </w:tr>
    </w:tbl>
    <w:p>
      <w:pPr>
        <w:spacing w:after="40"/>
      </w:pPr>
    </w:p>
    <w:p>
      <w:pPr>
        <w:pStyle w:val="Heading1"/>
      </w:pPr>
      <w:r>
        <w:t>人工确认点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744"/>
        <w:gridCol w:w="3960"/>
      </w:tblGrid>
      <w:tr>
        <w:trPr>
          <w:tblHeader w:val="true"/>
        </w:trPr>
        <w:tc>
          <w:tcPr>
            <w:tcW w:type="dxa" w:w="16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AI可以做</w:t>
            </w:r>
          </w:p>
        </w:tc>
        <w:tc>
          <w:tcPr>
            <w:tcW w:type="dxa" w:w="3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必须由人工做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名单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整理公开组织、去重、评分和来源记录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判断是否适合联系与是否存在关系冲突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首轮联系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起草个性化介绍和问题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最终审核并发送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商品建议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按真实供应资料匹配候选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决定最终商品、规格和替代方案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报价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读取已批准价格形成草稿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确认币种、税费、有效期、库存、账期与签发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样品与试单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安排提醒和记录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批准成本、发货、签收和异常处理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停止联系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识别明确拒绝并标记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处理争议和特殊关系</w:t>
            </w:r>
          </w:p>
        </w:tc>
      </w:tr>
    </w:tbl>
    <w:p>
      <w:pPr>
        <w:spacing w:after="40"/>
      </w:pPr>
    </w:p>
    <w:p>
      <w:pPr>
        <w:pStyle w:val="Heading1"/>
      </w:pPr>
      <w:r>
        <w:t>30天指标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512"/>
        <w:gridCol w:w="5760"/>
      </w:tblGrid>
      <w:tr>
        <w:trPr>
          <w:tblHeader w:val="true"/>
        </w:trPr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最低目标</w:t>
            </w:r>
          </w:p>
        </w:tc>
        <w:tc>
          <w:tcPr>
            <w:tcW w:type="dxa" w:w="57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高优先公开组织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50 个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有城市、类别和至少一个可复核来源；高优先尽量两处来源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人工发送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15-25 条</w:t>
            </w:r>
          </w:p>
        </w:tc>
        <w:tc>
          <w:tcPr>
            <w:tcW w:type="dxa" w:w="5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个性化、使用公开商务入口，不群发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有效沟通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5-10 次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讨论了需求、规格、采购或试样，不把已读当有效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样品或试单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3 个方向以上</w:t>
            </w:r>
          </w:p>
        </w:tc>
        <w:tc>
          <w:tcPr>
            <w:tcW w:type="dxa" w:w="5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必须有真实供应与履约记录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误承诺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0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不猜价格、库存、许可和送达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FNCCI member database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Federation of Nepalese Chambers of Commerce and Industry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地区商会与企业名单入口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Chamber of Commerce committees and contact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Chamber of Commerce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商业网络与行业委员会入口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oodmandu.com/Home/About" TargetMode="External"/><Relationship Id="rId12" Type="http://schemas.openxmlformats.org/officeDocument/2006/relationships/hyperlink" Target="https://www.kanomama.com/" TargetMode="External"/><Relationship Id="rId13" Type="http://schemas.openxmlformats.org/officeDocument/2006/relationships/hyperlink" Target="https://sewapoint.com/sellers/valley-cold-store-nayabazar-kathmandu/" TargetMode="External"/><Relationship Id="rId14" Type="http://schemas.openxmlformats.org/officeDocument/2006/relationships/hyperlink" Target="https://kathmandusuppliers.com.np/frozen-prawn" TargetMode="External"/><Relationship Id="rId15" Type="http://schemas.openxmlformats.org/officeDocument/2006/relationships/hyperlink" Target="https://bbsm.com.np/index.php" TargetMode="External"/><Relationship Id="rId16" Type="http://schemas.openxmlformats.org/officeDocument/2006/relationships/hyperlink" Target="https://bigmart.com.np/" TargetMode="External"/><Relationship Id="rId17" Type="http://schemas.openxmlformats.org/officeDocument/2006/relationships/hyperlink" Target="https://hotelassociationnepal.org.np/index.php" TargetMode="External"/><Relationship Id="rId18" Type="http://schemas.openxmlformats.org/officeDocument/2006/relationships/hyperlink" Target="https://hotelassociationnepal.org.np/storage/Membership%20database.pdf" TargetMode="External"/><Relationship Id="rId19" Type="http://schemas.openxmlformats.org/officeDocument/2006/relationships/hyperlink" Target="https://rebannepal.com/" TargetMode="External"/><Relationship Id="rId20" Type="http://schemas.openxmlformats.org/officeDocument/2006/relationships/hyperlink" Target="https://www.fncci.org/" TargetMode="External"/><Relationship Id="rId21" Type="http://schemas.openxmlformats.org/officeDocument/2006/relationships/hyperlink" Target="https://ncc.org.np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05_B2B线上销售全渠道方案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