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 w:after="240"/>
      </w:pPr>
      <w:r>
        <w:rPr>
          <w:rFonts w:ascii="Hiragino Sans GB" w:hAnsi="Hiragino Sans GB" w:eastAsia="Hiragino Sans GB"/>
          <w:b/>
          <w:color w:val="1F4D78"/>
          <w:sz w:val="44"/>
        </w:rPr>
        <w:t>B2B AI获客与跟进SOP</w:t>
      </w:r>
    </w:p>
    <w:p>
      <w:pPr>
        <w:spacing w:after="400"/>
      </w:pPr>
      <w:r>
        <w:rPr>
          <w:rFonts w:ascii="Hiragino Sans GB" w:hAnsi="Hiragino Sans GB" w:eastAsia="Hiragino Sans GB"/>
          <w:color w:val="667085"/>
          <w:sz w:val="24"/>
        </w:rPr>
        <w:t>AI负责整理和草拟，人工负责现实动作与承诺</w:t>
      </w:r>
    </w:p>
    <w:p>
      <w:pPr>
        <w:spacing w:after="360"/>
      </w:pPr>
      <w:r>
        <w:rPr>
          <w:rFonts w:ascii="Hiragino Sans GB" w:hAnsi="Hiragino Sans GB" w:eastAsia="Hiragino Sans GB"/>
          <w:b/>
          <w:color w:val="1F2937"/>
          <w:sz w:val="18"/>
        </w:rPr>
        <w:t>研究日期：</w:t>
      </w:r>
      <w:r>
        <w:rPr>
          <w:rFonts w:ascii="Hiragino Sans GB" w:hAnsi="Hiragino Sans GB" w:eastAsia="Hiragino Sans GB"/>
          <w:color w:val="667085"/>
          <w:sz w:val="18"/>
        </w:rPr>
        <w:t>2026-07-27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当前状态：</w:t>
      </w:r>
      <w:r>
        <w:rPr>
          <w:rFonts w:ascii="Hiragino Sans GB" w:hAnsi="Hiragino Sans GB" w:eastAsia="Hiragino Sans GB"/>
          <w:color w:val="667085"/>
          <w:sz w:val="18"/>
        </w:rPr>
        <w:t>部分完成：公开研究已完成，真实商品与本地执行条件待核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判断方式：</w:t>
      </w:r>
      <w:r>
        <w:rPr>
          <w:rFonts w:ascii="Hiragino Sans GB" w:hAnsi="Hiragino Sans GB" w:eastAsia="Hiragino Sans GB"/>
          <w:color w:val="667085"/>
          <w:sz w:val="18"/>
        </w:rPr>
        <w:t>已确认 / 部分成立 / 待验证 / 推测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版本：</w:t>
      </w:r>
      <w:r>
        <w:rPr>
          <w:rFonts w:ascii="Hiragino Sans GB" w:hAnsi="Hiragino Sans GB" w:eastAsia="Hiragino Sans GB"/>
          <w:color w:val="667085"/>
          <w:sz w:val="18"/>
        </w:rPr>
        <w:t>v1.0 合作讨论稿</w:t>
        <w:br/>
      </w:r>
    </w:p>
    <w:p>
      <w:pPr>
        <w:spacing w:before="80" w:after="180"/>
        <w:shd w:fill="FFF4CE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使用提醒  </w:t>
      </w:r>
      <w:r>
        <w:rPr>
          <w:rFonts w:ascii="Hiragino Sans GB" w:hAnsi="Hiragino Sans GB" w:eastAsia="Hiragino Sans GB"/>
          <w:color w:val="1F2937"/>
          <w:sz w:val="21"/>
        </w:rPr>
        <w:t>本文件用于合作讨论和首阶段验证，不替代尼泊尔当地法律、报关、食品许可、税务或冷链专业意见。</w:t>
      </w:r>
    </w:p>
    <w:p>
      <w:r>
        <w:br w:type="page"/>
      </w:r>
    </w:p>
    <w:p>
      <w:pPr>
        <w:pStyle w:val="Heading1"/>
      </w:pPr>
      <w:r>
        <w:t>阅读目录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8352"/>
      </w:tblGrid>
      <w:tr>
        <w:trPr>
          <w:tblHeader w:val="true"/>
        </w:trPr>
        <w:tc>
          <w:tcPr>
            <w:tcW w:type="dxa" w:w="100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835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工作原则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每日流程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联系节奏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话术样例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CRM记录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6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停止规则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7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来源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Hiragino Sans GB" w:hAnsi="Hiragino Sans GB" w:eastAsia="Hiragino Sans GB"/>
          <w:b/>
          <w:color w:val="667085"/>
          <w:sz w:val="18"/>
        </w:rPr>
        <w:t>可更新目录：</w:t>
      </w:r>
      <w:r>
        <w:fldChar w:fldCharType="begin"/>
        <w:instrText xml:space="preserve">TOC \o "1-3" \h \z \u</w:instrText>
        <w:fldChar w:fldCharType="separate"/>
        <w:t>在 Word/WPS 中更新目录</w:t>
        <w:fldChar w:fldCharType="end"/>
      </w:r>
    </w:p>
    <w:p>
      <w:pPr>
        <w:pStyle w:val="Heading1"/>
      </w:pPr>
      <w:r>
        <w:t>工作原则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原则</w:t>
            </w:r>
          </w:p>
        </w:tc>
        <w:tc>
          <w:tcPr>
            <w:tcW w:type="dxa" w:w="75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执行要求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公开来源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只使用官网、协会、地图、公开目录和授权后台</w:t>
            </w:r>
          </w:p>
        </w:tc>
      </w:tr>
      <w:tr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真实供应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正式联系前确认候选商品；正式报价前确认真实价格、库存、税费和配送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个性化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每条联系必须说明为什么适合该组织，不使用无差别群发</w:t>
            </w:r>
          </w:p>
        </w:tc>
      </w:tr>
      <w:tr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人工发送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AI只生成草稿；首次联系、报价、样品、电话、见面和合同都由人工确认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尊重拒绝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明确拒绝或要求停止后立即停止，不自动重启</w:t>
            </w:r>
          </w:p>
        </w:tc>
      </w:tr>
      <w:tr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结果分层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已读、回复、有效沟通、样品、试单和补货分开记录</w:t>
            </w:r>
          </w:p>
        </w:tc>
      </w:tr>
    </w:tbl>
    <w:p>
      <w:pPr>
        <w:spacing w:after="40"/>
      </w:pPr>
    </w:p>
    <w:p>
      <w:pPr>
        <w:pStyle w:val="Heading1"/>
      </w:pPr>
      <w:r>
        <w:t>每日流程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64"/>
        <w:gridCol w:w="8496"/>
      </w:tblGrid>
      <w:tr>
        <w:trPr>
          <w:tblHeader w:val="true"/>
        </w:trPr>
        <w:tc>
          <w:tcPr>
            <w:tcW w:type="dxa" w:w="86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84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复核供应链真值和阻断事项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从高优先队列选 3-5 个组织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检查公开页面是否仍有效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AI按组织与商品生成联系草稿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人工审核、修改并发送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6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当天记录回复和下一步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7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异常、拒绝或价格问题进入人工处理</w:t>
            </w:r>
          </w:p>
        </w:tc>
      </w:tr>
    </w:tbl>
    <w:p>
      <w:pPr>
        <w:spacing w:after="40"/>
      </w:pPr>
    </w:p>
    <w:p>
      <w:pPr>
        <w:pStyle w:val="Heading1"/>
      </w:pPr>
      <w:r>
        <w:t>联系节奏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24"/>
        <w:gridCol w:w="3024"/>
        <w:gridCol w:w="3024"/>
        <w:gridCol w:w="2088"/>
      </w:tblGrid>
      <w:tr>
        <w:trPr>
          <w:tblHeader w:val="true"/>
        </w:trPr>
        <w:tc>
          <w:tcPr>
            <w:tcW w:type="dxa" w:w="122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时间</w:t>
            </w:r>
          </w:p>
        </w:tc>
        <w:tc>
          <w:tcPr>
            <w:tcW w:type="dxa" w:w="302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302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目的</w:t>
            </w:r>
          </w:p>
        </w:tc>
        <w:tc>
          <w:tcPr>
            <w:tcW w:type="dxa" w:w="208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停止条件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D0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短介绍＋一个具体问题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确认是否负责相关采购或是否愿意了解样品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明确拒绝</w:t>
            </w:r>
          </w:p>
        </w:tc>
      </w:tr>
      <w:tr>
        <w:tc>
          <w:tcPr>
            <w:tcW w:type="dxa" w:w="12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D3-D4</w:t>
            </w:r>
          </w:p>
        </w:tc>
        <w:tc>
          <w:tcPr>
            <w:tcW w:type="dxa" w:w="30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补充真实商品图、规格或一页说明</w:t>
            </w:r>
          </w:p>
        </w:tc>
        <w:tc>
          <w:tcPr>
            <w:tcW w:type="dxa" w:w="30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降低理解成本</w:t>
            </w:r>
          </w:p>
        </w:tc>
        <w:tc>
          <w:tcPr>
            <w:tcW w:type="dxa" w:w="20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资料不足或已拒绝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D7-D10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围绕需求、出成率或配送做一次跟进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推进样品或短会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无回复且无新价值</w:t>
            </w:r>
          </w:p>
        </w:tc>
      </w:tr>
      <w:tr>
        <w:tc>
          <w:tcPr>
            <w:tcW w:type="dxa" w:w="12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D14</w:t>
            </w:r>
          </w:p>
        </w:tc>
        <w:tc>
          <w:tcPr>
            <w:tcW w:type="dxa" w:w="30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礼貌结束本轮联系</w:t>
            </w:r>
          </w:p>
        </w:tc>
        <w:tc>
          <w:tcPr>
            <w:tcW w:type="dxa" w:w="30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保留未来公开联系可能</w:t>
            </w:r>
          </w:p>
        </w:tc>
        <w:tc>
          <w:tcPr>
            <w:tcW w:type="dxa" w:w="20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结束后 90 天内不自动重启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成交后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按实际消耗周期提醒补货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验证复购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对方要求停止或履约异常</w:t>
            </w:r>
          </w:p>
        </w:tc>
      </w:tr>
    </w:tbl>
    <w:p>
      <w:pPr>
        <w:spacing w:after="40"/>
      </w:pPr>
    </w:p>
    <w:p>
      <w:pPr>
        <w:pStyle w:val="Heading1"/>
      </w:pPr>
      <w:r>
        <w:t>话术样例</w:t>
      </w:r>
    </w:p>
    <w:p>
      <w:pPr>
        <w:spacing w:before="80" w:after="180"/>
        <w:shd w:fill="EDF4FA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首次联系  </w:t>
      </w:r>
      <w:r>
        <w:rPr>
          <w:rFonts w:ascii="Hiragino Sans GB" w:hAnsi="Hiragino Sans GB" w:eastAsia="Hiragino Sans GB"/>
          <w:color w:val="1F2937"/>
          <w:sz w:val="21"/>
        </w:rPr>
        <w:t>您好，我们正在评估向加德满都谷地稳定供应冷冻虾、鱼柳和鱿鱼的合作方式。看到贵方经营酒店／餐饮／食品零售，想先了解目前更看重规格稳定、到货时效，还是价格与最小订货量？如果方向合适，我们可以在资料确认后提供一页商品说明供参考。</w:t>
      </w:r>
    </w:p>
    <w:p>
      <w:pPr>
        <w:spacing w:before="80" w:after="180"/>
        <w:shd w:fill="EDF4FA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样品邀请  </w:t>
      </w:r>
      <w:r>
        <w:rPr>
          <w:rFonts w:ascii="Hiragino Sans GB" w:hAnsi="Hiragino Sans GB" w:eastAsia="Hiragino Sans GB"/>
          <w:color w:val="1F2937"/>
          <w:sz w:val="21"/>
        </w:rPr>
        <w:t>根据您提到的使用场景，我们初步匹配了一个候选规格。正式安排前，我们还会确认净重、温控、到货时间和费用。若您愿意测试，请告知预计用量、收货区域和方便反馈的时间。</w:t>
      </w:r>
    </w:p>
    <w:p>
      <w:pPr>
        <w:spacing w:before="80" w:after="180"/>
        <w:shd w:fill="EDF4FA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结束本轮联系  </w:t>
      </w:r>
      <w:r>
        <w:rPr>
          <w:rFonts w:ascii="Hiragino Sans GB" w:hAnsi="Hiragino Sans GB" w:eastAsia="Hiragino Sans GB"/>
          <w:color w:val="1F2937"/>
          <w:sz w:val="21"/>
        </w:rPr>
        <w:t>谢谢您阅读。本轮先不继续打扰。如果以后有冷冻鱼柳、虾或鱿鱼的采购需求，可以通过这个公开入口联系我们；届时会以最新库存和配送条件为准。</w:t>
      </w:r>
    </w:p>
    <w:p>
      <w:pPr>
        <w:pStyle w:val="Heading1"/>
      </w:pPr>
      <w:r>
        <w:t>CRM记录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24"/>
        <w:gridCol w:w="6336"/>
      </w:tblGrid>
      <w:tr>
        <w:trPr>
          <w:tblHeader w:val="true"/>
        </w:trPr>
        <w:tc>
          <w:tcPr>
            <w:tcW w:type="dxa" w:w="302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每次联系后记录</w:t>
            </w:r>
          </w:p>
        </w:tc>
        <w:tc>
          <w:tcPr>
            <w:tcW w:type="dxa" w:w="633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来源与原始链接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能回到公开页面</w:t>
            </w:r>
          </w:p>
        </w:tc>
      </w:tr>
      <w:tr>
        <w:tc>
          <w:tcPr>
            <w:tcW w:type="dxa" w:w="30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联系时间与渠道</w:t>
            </w:r>
          </w:p>
        </w:tc>
        <w:tc>
          <w:tcPr>
            <w:tcW w:type="dxa" w:w="63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区分草稿、已发送与已回复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需求与拒绝原因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保留原意，不强行归类</w:t>
            </w:r>
          </w:p>
        </w:tc>
      </w:tr>
      <w:tr>
        <w:tc>
          <w:tcPr>
            <w:tcW w:type="dxa" w:w="30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使用的价格版本</w:t>
            </w:r>
          </w:p>
        </w:tc>
        <w:tc>
          <w:tcPr>
            <w:tcW w:type="dxa" w:w="63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避免过期报价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下一步与日期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活跃记录必须有</w:t>
            </w:r>
          </w:p>
        </w:tc>
      </w:tr>
      <w:tr>
        <w:tc>
          <w:tcPr>
            <w:tcW w:type="dxa" w:w="30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停止联系标记</w:t>
            </w:r>
          </w:p>
        </w:tc>
        <w:tc>
          <w:tcPr>
            <w:tcW w:type="dxa" w:w="63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立即阻断后续自动任务</w:t>
            </w:r>
          </w:p>
        </w:tc>
      </w:tr>
    </w:tbl>
    <w:p>
      <w:pPr>
        <w:spacing w:after="40"/>
      </w:pPr>
    </w:p>
    <w:p>
      <w:pPr>
        <w:pStyle w:val="Heading1"/>
      </w:pPr>
      <w:r>
        <w:t>停止规则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触发</w:t>
            </w:r>
          </w:p>
        </w:tc>
        <w:tc>
          <w:tcPr>
            <w:tcW w:type="dxa" w:w="57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处理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明确拒绝或要求停止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立即结束并写入停止标记</w:t>
            </w:r>
          </w:p>
        </w:tc>
      </w:tr>
      <w:tr>
        <w:tc>
          <w:tcPr>
            <w:tcW w:type="dxa" w:w="36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公开主体或入口失效</w:t>
            </w:r>
          </w:p>
        </w:tc>
        <w:tc>
          <w:tcPr>
            <w:tcW w:type="dxa" w:w="57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停止联系，重新核实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供应、价格、库存或配送缺失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不报价，只说明待确认</w:t>
            </w:r>
          </w:p>
        </w:tc>
      </w:tr>
      <w:tr>
        <w:tc>
          <w:tcPr>
            <w:tcW w:type="dxa" w:w="36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投诉、食品安全或冷链异常</w:t>
            </w:r>
          </w:p>
        </w:tc>
        <w:tc>
          <w:tcPr>
            <w:tcW w:type="dxa" w:w="57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转人工，停止同批次销售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连续两轮无有效沟通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调整对象或商品，不增加频率</w:t>
            </w:r>
          </w:p>
        </w:tc>
      </w:tr>
    </w:tbl>
    <w:p>
      <w:pPr>
        <w:spacing w:after="40"/>
      </w:pPr>
    </w:p>
    <w:p>
      <w:pPr>
        <w:pStyle w:val="Heading1"/>
      </w:pPr>
      <w:r>
        <w:t>来源与引用</w:t>
      </w:r>
    </w:p>
    <w:p>
      <w:pPr>
        <w:spacing w:before="80" w:after="180"/>
        <w:shd w:fill="EDF4FA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阅读方法  </w:t>
      </w:r>
      <w:r>
        <w:rPr>
          <w:rFonts w:ascii="Hiragino Sans GB" w:hAnsi="Hiragino Sans GB" w:eastAsia="Hiragino Sans GB"/>
          <w:color w:val="1F2937"/>
          <w:sz w:val="21"/>
        </w:rPr>
        <w:t>来源按原始页面记录。官方与平台官方来源优先；企业网页用于证明在售、价格和渠道存在，不代表全部市场。动态价格、库存与平台能力在行动前需要重新核对。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5"/>
        <w:gridCol w:w="2175"/>
        <w:gridCol w:w="1714"/>
        <w:gridCol w:w="989"/>
        <w:gridCol w:w="1121"/>
        <w:gridCol w:w="1912"/>
        <w:gridCol w:w="724"/>
      </w:tblGrid>
      <w:tr>
        <w:trPr>
          <w:tblHeader w:val="true"/>
        </w:trPr>
        <w:tc>
          <w:tcPr>
            <w:tcW w:type="dxa" w:w="72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17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来源</w:t>
            </w:r>
          </w:p>
        </w:tc>
        <w:tc>
          <w:tcPr>
            <w:tcW w:type="dxa" w:w="171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机构</w:t>
            </w:r>
          </w:p>
        </w:tc>
        <w:tc>
          <w:tcPr>
            <w:tcW w:type="dxa" w:w="98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时间</w:t>
            </w:r>
          </w:p>
        </w:tc>
        <w:tc>
          <w:tcPr>
            <w:tcW w:type="dxa" w:w="112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类别</w:t>
            </w:r>
          </w:p>
        </w:tc>
        <w:tc>
          <w:tcPr>
            <w:tcW w:type="dxa" w:w="19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72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可信度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S18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1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Privacy Act 2075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Law Commission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2018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个人信息最小化与保护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S36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2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Hotel Association Nepal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Hotel Association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协会官网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酒店名单与采购单位入口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S37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3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Hotel Association Nepal membership database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Hotel Association Nepal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协会官网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酒店和度假村名单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S38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4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Restaurant and Bar Association Nepal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REBAN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协会官网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餐饮采购单位与地区分会入口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S39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5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FNCCI member database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Federation of Nepalese Chambers of Commerce and Industry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协会官网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地区商会与企业名单入口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S40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6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Nepal Chamber of Commerce committees and contact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Chamber of Commerce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协会官网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商业网络与行业委员会入口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</w:tbl>
    <w:p>
      <w:pPr>
        <w:spacing w:after="40"/>
      </w:pPr>
    </w:p>
    <w:p>
      <w:pPr>
        <w:pStyle w:val="Heading1"/>
      </w:pPr>
      <w:r>
        <w:t>执行前确认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44"/>
        <w:gridCol w:w="1584"/>
        <w:gridCol w:w="4032"/>
      </w:tblGrid>
      <w:tr>
        <w:trPr>
          <w:tblHeader w:val="true"/>
        </w:trPr>
        <w:tc>
          <w:tcPr>
            <w:tcW w:type="dxa" w:w="374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158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当前状态</w:t>
            </w:r>
          </w:p>
        </w:tc>
        <w:tc>
          <w:tcPr>
            <w:tcW w:type="dxa" w:w="40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行动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真实商品、价格、库存与有效期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由中国供应方提供并持续更新</w:t>
            </w:r>
          </w:p>
        </w:tc>
      </w:tr>
      <w:tr>
        <w:tc>
          <w:tcPr>
            <w:tcW w:type="dxa" w:w="3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进口许可、海关编码、税费与标签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  <w:tc>
          <w:tcPr>
            <w:tcW w:type="dxa" w:w="40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由尼泊尔进口方和报关行逐品复核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冷链、配送、支付与售后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在加德满都谷地完成真实演练</w:t>
            </w:r>
          </w:p>
        </w:tc>
      </w:tr>
      <w:tr>
        <w:tc>
          <w:tcPr>
            <w:tcW w:type="dxa" w:w="3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真实联系、投放、订单与复购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未执行</w:t>
            </w:r>
          </w:p>
        </w:tc>
        <w:tc>
          <w:tcPr>
            <w:tcW w:type="dxa" w:w="40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人工批准后小范围开展</w:t>
            </w:r>
          </w:p>
        </w:tc>
      </w:tr>
    </w:tbl>
    <w:p>
      <w:pPr>
        <w:spacing w:after="40"/>
      </w:pPr>
    </w:p>
    <w:p>
      <w:pPr>
        <w:pStyle w:val="Heading1"/>
      </w:pPr>
      <w:r>
        <w:t>下一步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64"/>
        <w:gridCol w:w="8496"/>
      </w:tblGrid>
      <w:tr>
        <w:trPr>
          <w:tblHeader w:val="true"/>
        </w:trPr>
        <w:tc>
          <w:tcPr>
            <w:tcW w:type="dxa" w:w="86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84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先补齐与本文件直接相关的 P0 信息。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由尼泊尔当地责任方复核许可、税费、标签和执行条件。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只在加德满都谷地做小范围真实验证。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把结果写回 CRM，再决定继续、调整或暂停。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667085"/>
        <w:sz w:val="16"/>
      </w:rPr>
      <w:t xml:space="preserve">2026-07-27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color w:val="667085"/>
        <w:sz w:val="16"/>
      </w:rPr>
      <w:t>尼泊尔海鲜项目｜合作执行资料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left"/>
    </w:pPr>
    <w:rPr>
      <w:rFonts w:ascii="Hiragino Sans GB" w:hAnsi="Hiragino Sans GB" w:eastAsia="Hiragino Sans GB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lawcommission.gov.np/content/12261/12261-the-privacy-act-2075/" TargetMode="External"/><Relationship Id="rId12" Type="http://schemas.openxmlformats.org/officeDocument/2006/relationships/hyperlink" Target="https://hotelassociationnepal.org.np/index.php" TargetMode="External"/><Relationship Id="rId13" Type="http://schemas.openxmlformats.org/officeDocument/2006/relationships/hyperlink" Target="https://hotelassociationnepal.org.np/storage/Membership%20database.pdf" TargetMode="External"/><Relationship Id="rId14" Type="http://schemas.openxmlformats.org/officeDocument/2006/relationships/hyperlink" Target="https://rebannepal.com/" TargetMode="External"/><Relationship Id="rId15" Type="http://schemas.openxmlformats.org/officeDocument/2006/relationships/hyperlink" Target="https://www.fncci.org/" TargetMode="External"/><Relationship Id="rId16" Type="http://schemas.openxmlformats.org/officeDocument/2006/relationships/hyperlink" Target="https://ncc.org.np/conta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07_B2B_AI获客与跟进SOP</dc:title>
  <dc:subject>中国供应链向尼泊尔销售海鲜产品的合作执行资料</dc:subject>
  <dc:creator>项目研究与规划工作组</dc:creator>
  <cp:keywords/>
  <dc:description>公开研究与试点方案；未确认事项保持待验证。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