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B2C线上销售全渠道方案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加德满都谷地的小范围内容、下单、支付与配送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首阶段人群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渠道组合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成交与支付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履约与售后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内容到复购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指标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首阶段人群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648"/>
        <w:gridCol w:w="1080"/>
        <w:gridCol w:w="3600"/>
        <w:gridCol w:w="1872"/>
      </w:tblGrid>
      <w:tr>
        <w:trPr>
          <w:tblHeader w:val="true"/>
        </w:trPr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人群</w:t>
            </w:r>
          </w:p>
        </w:tc>
        <w:tc>
          <w:tcPr>
            <w:tcW w:type="dxa" w:w="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0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需求逻辑</w:t>
            </w:r>
          </w:p>
        </w:tc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首要验证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加德满都谷地中高收入家庭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有购买力和家庭配送条件，适合500克至1千克包装。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真实下单、复购、拒绝原因</w:t>
            </w:r>
          </w:p>
        </w:tc>
      </w:tr>
      <w:tr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火锅、烧烤与家庭聚餐人群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87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场景强、内容表现好，适合组合装与简单做法。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组合装转化、聚餐前购买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在尼外国人与中国人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对进口海鲜更熟悉，可作为早期验证，不可代替本地需求。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语言偏好、复购、产品认知</w:t>
            </w:r>
          </w:p>
        </w:tc>
      </w:tr>
      <w:tr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年轻上班族与即烹需求人群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82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需要少处理、定量包装和清晰做法。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15分钟做法内容、下单时段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美食爱好者与主厨内容关注者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78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愿意学习新做法，适合新品内容测试。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收藏、咨询、试购</w:t>
            </w:r>
          </w:p>
        </w:tc>
      </w:tr>
      <w:tr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健身与高蛋白饮食人群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68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鱼柳和虾适配，但不能做未经证实的健康功效承诺。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营养信息与实际购买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节日与送礼人群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需要包装、价格和品牌信任，供应资料不足前不启动。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礼盒概念与价格测试</w:t>
            </w:r>
          </w:p>
        </w:tc>
      </w:tr>
      <w:tr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普通家庭</w:t>
            </w:r>
          </w:p>
        </w:tc>
        <w:tc>
          <w:tcPr>
            <w:tcW w:type="dxa" w:w="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49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暂缓广投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全国收入与冷链差异大，进口海鲜可能价格过高。</w:t>
            </w:r>
          </w:p>
        </w:tc>
        <w:tc>
          <w:tcPr>
            <w:tcW w:type="dxa" w:w="18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低价鱼柳和小包装测试</w:t>
            </w:r>
          </w:p>
        </w:tc>
      </w:tr>
    </w:tbl>
    <w:p>
      <w:pPr>
        <w:spacing w:after="40"/>
      </w:pPr>
    </w:p>
    <w:p>
      <w:pPr>
        <w:pStyle w:val="Heading1"/>
      </w:pPr>
      <w:r>
        <w:t>渠道组合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61"/>
        <w:gridCol w:w="1373"/>
        <w:gridCol w:w="1310"/>
        <w:gridCol w:w="1560"/>
        <w:gridCol w:w="1186"/>
        <w:gridCol w:w="1310"/>
        <w:gridCol w:w="998"/>
        <w:gridCol w:w="562"/>
      </w:tblGrid>
      <w:tr>
        <w:trPr>
          <w:tblHeader w:val="true"/>
        </w:trPr>
        <w:tc>
          <w:tcPr>
            <w:tcW w:type="dxa" w:w="10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渠道</w:t>
            </w:r>
          </w:p>
        </w:tc>
        <w:tc>
          <w:tcPr>
            <w:tcW w:type="dxa" w:w="13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可用性</w:t>
            </w:r>
          </w:p>
        </w:tc>
        <w:tc>
          <w:tcPr>
            <w:tcW w:type="dxa" w:w="13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主要作用</w:t>
            </w:r>
          </w:p>
        </w:tc>
        <w:tc>
          <w:tcPr>
            <w:tcW w:type="dxa" w:w="1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成交路径</w:t>
            </w:r>
          </w:p>
        </w:tc>
        <w:tc>
          <w:tcPr>
            <w:tcW w:type="dxa" w:w="118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AI作用</w:t>
            </w:r>
          </w:p>
        </w:tc>
        <w:tc>
          <w:tcPr>
            <w:tcW w:type="dxa" w:w="13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人工确认</w:t>
            </w:r>
          </w:p>
        </w:tc>
        <w:tc>
          <w:tcPr>
            <w:tcW w:type="dxa" w:w="99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指标</w:t>
            </w:r>
          </w:p>
        </w:tc>
        <w:tc>
          <w:tcPr>
            <w:tcW w:type="dxa" w:w="56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来源</w:t>
            </w:r>
          </w:p>
        </w:tc>
      </w:tr>
      <w:tr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TikTok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已确认内容可访问；Shop不在尼泊尔市场清单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发现、教育、评论与私信询问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站外商城/Viber/WhatsApp/电话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内容与社群回复可半自动；发布和承诺需人工确认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播放完成率、主页访问、有效询问、成交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S22,S25,S26</w:t>
            </w:r>
          </w:p>
        </w:tc>
      </w:tr>
      <w:tr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Facebook</w:t>
            </w:r>
          </w:p>
        </w:tc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需本地实测当前稳定性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本地社群、家庭与餐饮内容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独立商城或消息工具</w:t>
            </w:r>
          </w:p>
        </w:tc>
        <w:tc>
          <w:tcPr>
            <w:tcW w:type="dxa" w:w="11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平台政策连续性风险，不作为唯一入口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触达、有效询问、站外成交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Instagram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需本地实测当前稳定性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美食、主厨、家庭聚餐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独立商城或消息工具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图片和视频不得虚构产品与反馈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收藏、私信、站外成交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YouTube Shorts</w:t>
            </w:r>
          </w:p>
        </w:tc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需本地实测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食谱、处理方法、品牌教育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独立商城或搜索</w:t>
            </w:r>
          </w:p>
        </w:tc>
        <w:tc>
          <w:tcPr>
            <w:tcW w:type="dxa" w:w="11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转化链较长，适合沉淀内容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完播、搜索、落地页访问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Daraz Nepal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平台与支付方式已确认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标准化家庭包装和常温/冷冻可履约品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平台商品页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冷链品类、佣金和仓配必须书面确认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上架通过、订单、退货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S27</w:t>
            </w:r>
          </w:p>
        </w:tc>
      </w:tr>
      <w:tr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Foodmandu</w:t>
            </w:r>
          </w:p>
        </w:tc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已确认覆盖Kathmandu、Pokhara、Bharatpur、Butwal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本地餐饮、杂货和冷冻品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平台下单</w:t>
            </w:r>
          </w:p>
        </w:tc>
        <w:tc>
          <w:tcPr>
            <w:tcW w:type="dxa" w:w="11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供应合作、抽佣、冷链责任需商务确认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上架、转化、履约、复购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S28,S31</w:t>
            </w:r>
          </w:p>
        </w:tc>
      </w:tr>
      <w:tr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Kanomama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已确认海鲜垂直商城与谷地配送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价格和品类基准；潜在合作或竞争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自有商城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不假设可直接入驻；先做商务边界沟通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可合作范围或竞争监测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S29</w:t>
            </w:r>
          </w:p>
        </w:tc>
      </w:tr>
      <w:tr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Kathmandu Organics</w:t>
            </w:r>
          </w:p>
        </w:tc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已确认线上配送与冷冻鳟鱼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高品质家庭食品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自有商城</w:t>
            </w:r>
          </w:p>
        </w:tc>
        <w:tc>
          <w:tcPr>
            <w:tcW w:type="dxa" w:w="11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海鲜品类有限，需洽谈是否接受进口品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合作回复、试上架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S32</w:t>
            </w:r>
          </w:p>
        </w:tc>
      </w:tr>
      <w:tr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Bigmart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已确认线上商店与加德满都快速配送宣传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大众零售与家庭即时购买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平台下单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海鲜冷链能力和入驻条件待确认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上架条件、订单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S35</w:t>
            </w:r>
          </w:p>
        </w:tc>
      </w:tr>
      <w:tr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Bhat-Bhateni</w:t>
            </w:r>
          </w:p>
        </w:tc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已确认多城市连锁零售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家庭零售和线下信任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门店与可能的线上入口</w:t>
            </w:r>
          </w:p>
        </w:tc>
        <w:tc>
          <w:tcPr>
            <w:tcW w:type="dxa" w:w="11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采购、冷柜、条码、退货和促销需正式洽谈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上架门店、周转、补货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S34</w:t>
            </w:r>
          </w:p>
        </w:tc>
      </w:tr>
      <w:tr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可建设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全渠道统一成交与数据沉淀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本地支付+货到付款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上线前必须接入真实库存、配送和售后真值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转化、付款、履约、复购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S17,S20,S21</w:t>
            </w:r>
          </w:p>
        </w:tc>
      </w:tr>
      <w:tr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Viber / WhatsApp</w:t>
            </w:r>
          </w:p>
        </w:tc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需本地实测与合规设置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咨询、推荐、订单确认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支付链接或货到付款</w:t>
            </w:r>
          </w:p>
        </w:tc>
        <w:tc>
          <w:tcPr>
            <w:tcW w:type="dxa" w:w="11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只对主动询问或已同意的联系人跟进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响应时长、成交、退订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Messenger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需本地实测当前稳定性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社交主页咨询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独立商城或人工订单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平台稳定性与隐私风险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有效询问、转化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Google Search / Maps</w:t>
            </w:r>
          </w:p>
        </w:tc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已确认可用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主动搜索海鲜、冷冻品与配送的人群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独立商城/电话/地图导航</w:t>
            </w:r>
          </w:p>
        </w:tc>
        <w:tc>
          <w:tcPr>
            <w:tcW w:type="dxa" w:w="11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需要本地搜索词和门店资料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搜索点击、电话、导航、订单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私域社群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需在获得同意后建立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复购、食谱和到货提醒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商城链接或人工订单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禁止未经同意拉群和高频促销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复购率、退群率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达人合作</w:t>
            </w:r>
          </w:p>
        </w:tc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可行性需逐人和平台规则确认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美食、家庭、主厨与健身垂类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专属链接或口令</w:t>
            </w:r>
          </w:p>
        </w:tc>
        <w:tc>
          <w:tcPr>
            <w:tcW w:type="dxa" w:w="11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不得伪造体验；必须真实试吃和披露合作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有效询问、成交、内容成本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直播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普通直播能力需账号实测；直播带货不等于可用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烹饪演示、答疑和新品测试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站外下单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Shop不支持尼泊尔；价格库存必须接真值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观看、停留、有效询问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S22,S25</w:t>
            </w:r>
          </w:p>
        </w:tc>
      </w:tr>
      <w:tr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餐厅联名</w:t>
            </w:r>
          </w:p>
        </w:tc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可通过B2B合作建立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先吃后买、主厨背书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餐厅二维码到商城</w:t>
            </w:r>
          </w:p>
        </w:tc>
        <w:tc>
          <w:tcPr>
            <w:tcW w:type="dxa" w:w="11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高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必须是真实合作与真实菜品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试吃、扫码、复购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S38</w:t>
            </w:r>
          </w:p>
        </w:tc>
      </w:tr>
      <w:tr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内容SEO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可建设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长期搜索和食谱教育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独立商城</w:t>
            </w:r>
          </w:p>
        </w:tc>
        <w:tc>
          <w:tcPr>
            <w:tcW w:type="dxa" w:w="1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需要尼泊尔语与英语人工审校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自然搜索、咨询、订单</w:t>
            </w:r>
          </w:p>
        </w:tc>
        <w:tc>
          <w:tcPr>
            <w:tcW w:type="dxa" w:w="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</w:r>
          </w:p>
        </w:tc>
      </w:tr>
      <w:tr>
        <w:tc>
          <w:tcPr>
            <w:tcW w:type="dxa" w:w="10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短视频广告</w:t>
            </w:r>
          </w:p>
        </w:tc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TikTok/Meta地区能力需后台确认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放大已验证素材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落地页/商城</w:t>
            </w:r>
          </w:p>
        </w:tc>
        <w:tc>
          <w:tcPr>
            <w:tcW w:type="dxa" w:w="11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待验证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不得在未验证账号和转化追踪前设大预算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获客成本、成交成本、退款</w:t>
            </w:r>
          </w:p>
        </w:tc>
        <w:tc>
          <w:tcPr>
            <w:tcW w:type="dxa" w:w="5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S23,S24</w:t>
            </w:r>
          </w:p>
        </w:tc>
      </w:tr>
    </w:tbl>
    <w:p>
      <w:pPr>
        <w:spacing w:after="40"/>
      </w:pPr>
    </w:p>
    <w:p>
      <w:pPr>
        <w:pStyle w:val="Heading1"/>
      </w:pPr>
      <w:r>
        <w:t>成交与支付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建议路径  </w:t>
      </w:r>
      <w:r>
        <w:rPr>
          <w:rFonts w:ascii="Hiragino Sans GB" w:hAnsi="Hiragino Sans GB" w:eastAsia="Hiragino Sans GB"/>
          <w:color w:val="1F2937"/>
          <w:sz w:val="21"/>
        </w:rPr>
        <w:t>TikTok／Meta／Google／Foodmandu 等负责发现，自有页面负责展示真实商品，WhatsApp／Viber／电话负责补充沟通，Fonepay QR、eSewa、Khalti 和货到付款负责结账。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240"/>
        <w:gridCol w:w="2232"/>
        <w:gridCol w:w="2448"/>
      </w:tblGrid>
      <w:tr>
        <w:trPr>
          <w:tblHeader w:val="true"/>
        </w:trPr>
        <w:tc>
          <w:tcPr>
            <w:tcW w:type="dxa" w:w="14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首选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备选</w:t>
            </w:r>
          </w:p>
        </w:tc>
        <w:tc>
          <w:tcPr>
            <w:tcW w:type="dxa" w:w="24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上线条件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发现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TikTok自然内容、Meta、Google Maps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美食达人与本地社群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真实商品和素材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了解</w:t>
            </w:r>
          </w:p>
        </w:tc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独立商品页或本地电商页面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WhatsApp／Viber目录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价格、库存、配送和标签已核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沟通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WhatsApp／Viber／电话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网页表单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隐私告知和人工接管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收款</w:t>
            </w:r>
          </w:p>
        </w:tc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Fonepay QR、eSewa、Khalti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货到付款、卡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本地主体、对账和退款流程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配送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谷地冷链或已验证同城配送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自提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温控、半径、时效和异常处理</w:t>
            </w:r>
          </w:p>
        </w:tc>
      </w:tr>
    </w:tbl>
    <w:p>
      <w:pPr>
        <w:spacing w:after="40"/>
      </w:pPr>
    </w:p>
    <w:p>
      <w:pPr>
        <w:pStyle w:val="Heading1"/>
      </w:pPr>
      <w:r>
        <w:t>履约与售后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下单前显示可送区域、费用、截止时间和预计到达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付款前再次确认商品、净重、价格和库存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拣货时记录批次和包装状态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配送过程保留温控与交接记录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签收后提供解冻、储存和烹饪指引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温控、破损、少件或延误立即转人工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完成后按真实消耗周期提醒复购</w:t>
            </w:r>
          </w:p>
        </w:tc>
      </w:tr>
    </w:tbl>
    <w:p>
      <w:pPr>
        <w:spacing w:after="40"/>
      </w:pPr>
    </w:p>
    <w:p>
      <w:pPr>
        <w:pStyle w:val="Heading1"/>
      </w:pPr>
      <w:r>
        <w:t>内容到复购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3024"/>
        <w:gridCol w:w="2448"/>
        <w:gridCol w:w="2664"/>
      </w:tblGrid>
      <w:tr>
        <w:trPr>
          <w:tblHeader w:val="true"/>
        </w:trPr>
        <w:tc>
          <w:tcPr>
            <w:tcW w:type="dxa" w:w="12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4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行动</w:t>
            </w:r>
          </w:p>
        </w:tc>
        <w:tc>
          <w:tcPr>
            <w:tcW w:type="dxa" w:w="26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衡量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认识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海鲜怎么选、怎么看净重、怎么解冻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收藏或进入商品页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完播、收藏、页面访问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考虑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15分钟做法、分量、真实包装与配送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询问或加购</w:t>
            </w:r>
          </w:p>
        </w:tc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有效询问、加购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下单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真实库存、价格、配送和售后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付款或货到付款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转化、支付成功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体验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收货检查、储存和烹饪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完成订单</w:t>
            </w:r>
          </w:p>
        </w:tc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准时率、异常率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复购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按场景提醒、同类替代和组合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再次购买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30／60／90天复购</w:t>
            </w:r>
          </w:p>
        </w:tc>
      </w:tr>
    </w:tbl>
    <w:p>
      <w:pPr>
        <w:spacing w:after="40"/>
      </w:pPr>
    </w:p>
    <w:p>
      <w:pPr>
        <w:pStyle w:val="Heading1"/>
      </w:pPr>
      <w:r>
        <w:t>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首阶段指标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内容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完播、收藏、主页或商品页访问、有效询问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商品页</w:t>
            </w:r>
          </w:p>
        </w:tc>
        <w:tc>
          <w:tcPr>
            <w:tcW w:type="dxa" w:w="7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可售页面访问、加购、结账开始、退出原因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支付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成功率、货到付款占比、退款时长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配送</w:t>
            </w:r>
          </w:p>
        </w:tc>
        <w:tc>
          <w:tcPr>
            <w:tcW w:type="dxa" w:w="7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准时率、温控异常、破损、退回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商业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首单、毛利、复购、售后成本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线上经营的本地法律复核入口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个人信息最小化与保护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Electronic Transactions Act 2063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2008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电子记录与交易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Monthly Payment Systems Indicators: Asoj 2082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移动银行、电子钱包、二维码和电商支付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Payment Systems Department and licensed providers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支付服务机构官方入口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S27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About Daraz Nepal and payment methods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Daraz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商家入口、支付方式与平台存在性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S28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company and service locations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餐饮与杂货配送城市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Bhat-Bhateni stores and contact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Bhat-Bhateni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全国连锁零售入口和城市覆盖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Bigmart online store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Bigmart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加德满都线上零售与即时配送入口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awcommission.gov.np/content/13517/electricity-trade--e-workers--act--2081/" TargetMode="External"/><Relationship Id="rId12" Type="http://schemas.openxmlformats.org/officeDocument/2006/relationships/hyperlink" Target="https://lawcommission.gov.np/content/12261/12261-the-privacy-act-2075/" TargetMode="External"/><Relationship Id="rId13" Type="http://schemas.openxmlformats.org/officeDocument/2006/relationships/hyperlink" Target="https://lawcommission.gov.np/content/13397/electronic--electronic--traded-international-act--2063/" TargetMode="External"/><Relationship Id="rId14" Type="http://schemas.openxmlformats.org/officeDocument/2006/relationships/hyperlink" Target="https://www.nrb.org.np/contents/uploads/2025/11/2082_06-PS-Indicator.pdf" TargetMode="External"/><Relationship Id="rId15" Type="http://schemas.openxmlformats.org/officeDocument/2006/relationships/hyperlink" Target="https://www.nrb.org.np/departments/psd/" TargetMode="External"/><Relationship Id="rId16" Type="http://schemas.openxmlformats.org/officeDocument/2006/relationships/hyperlink" Target="https://www.daraz.com.np/about-daraz/" TargetMode="External"/><Relationship Id="rId17" Type="http://schemas.openxmlformats.org/officeDocument/2006/relationships/hyperlink" Target="https://foodmandu.com/Home/About" TargetMode="External"/><Relationship Id="rId18" Type="http://schemas.openxmlformats.org/officeDocument/2006/relationships/hyperlink" Target="https://bbsm.com.np/index.php" TargetMode="External"/><Relationship Id="rId19" Type="http://schemas.openxmlformats.org/officeDocument/2006/relationships/hyperlink" Target="https://bigmart.com.n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08_B2C线上销售全渠道方案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