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240"/>
      </w:pPr>
      <w:r>
        <w:rPr>
          <w:rFonts w:ascii="Hiragino Sans GB" w:hAnsi="Hiragino Sans GB" w:eastAsia="Hiragino Sans GB"/>
          <w:b/>
          <w:color w:val="1F4D78"/>
          <w:sz w:val="50"/>
        </w:rPr>
        <w:t>AI销售系统总体架构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先保证信息真实，再让 AI 提升研究、沟通与复盘效率</w:t>
      </w:r>
    </w:p>
    <w:p>
      <w:pPr>
        <w:spacing w:after="360"/>
        <w:jc w:val="left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设计目标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三个底座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八个模块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最小闭环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人工确认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验收标准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设计目标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核心原则  </w:t>
      </w:r>
      <w:r>
        <w:rPr>
          <w:rFonts w:ascii="Hiragino Sans GB" w:hAnsi="Hiragino Sans GB" w:eastAsia="Hiragino Sans GB"/>
          <w:color w:val="1F2937"/>
          <w:sz w:val="21"/>
        </w:rPr>
        <w:t>AI不能替代真实供应、许可、冷链和商务批准。系统价值在于把公开研究、真实商品、沟通记录和履约结果放到一条可追溯链路里。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i/>
          <w:color w:val="667085"/>
          <w:sz w:val="17"/>
        </w:rPr>
        <w:t>图 1｜研究、供应、AI草拟、人工确认与现实动作之间的关系。</w:t>
      </w:r>
    </w:p>
    <w:p>
      <w:pPr>
        <w:pStyle w:val="Heading1"/>
      </w:pPr>
      <w:r>
        <w:t>三个底座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48"/>
        <w:gridCol w:w="3362"/>
        <w:gridCol w:w="1582"/>
        <w:gridCol w:w="1846"/>
        <w:gridCol w:w="922"/>
      </w:tblGrid>
      <w:tr>
        <w:trPr>
          <w:tblHeader w:val="true"/>
        </w:trPr>
        <w:tc>
          <w:tcPr>
            <w:tcW w:type="dxa" w:w="1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底座</w:t>
            </w:r>
          </w:p>
        </w:tc>
        <w:tc>
          <w:tcPr>
            <w:tcW w:type="dxa" w:w="336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作用</w:t>
            </w:r>
          </w:p>
        </w:tc>
        <w:tc>
          <w:tcPr>
            <w:tcW w:type="dxa" w:w="158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184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异常处理</w:t>
            </w:r>
          </w:p>
        </w:tc>
        <w:tc>
          <w:tcPr>
            <w:tcW w:type="dxa" w:w="92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5"/>
              </w:rPr>
              <w:t>责任</w:t>
            </w:r>
          </w:p>
        </w:tc>
      </w:tr>
      <w:tr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供应链真值中心</w:t>
            </w:r>
          </w:p>
        </w:tc>
        <w:tc>
          <w:tcPr>
            <w:tcW w:type="dxa" w:w="3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只保存已经确认的商品、价格、库存、可送区域、时效、合规文件和售后规则。所有内容、报价和答复从这里读取。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供应方资料、库存系统、配送规则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信息缺失时只显示“待供应方确认”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供应链负责人</w:t>
            </w:r>
          </w:p>
        </w:tc>
      </w:tr>
      <w:tr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人工确认中心</w:t>
            </w:r>
          </w:p>
        </w:tc>
        <w:tc>
          <w:tcPr>
            <w:tcW w:type="dxa" w:w="336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把正式报价、样品、合同、退款、投诉、扩城、加预算和高风险内容统一送人工处理。</w:t>
            </w:r>
          </w:p>
        </w:tc>
        <w:tc>
          <w:tcPr>
            <w:tcW w:type="dxa" w:w="15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各模块的升级请求</w:t>
            </w:r>
          </w:p>
        </w:tc>
        <w:tc>
          <w:tcPr>
            <w:tcW w:type="dxa" w:w="18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没有批准不得自动执行</w:t>
            </w:r>
          </w:p>
        </w:tc>
        <w:tc>
          <w:tcPr>
            <w:tcW w:type="dxa" w:w="9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项目负责人及对应业务负责人</w:t>
            </w:r>
          </w:p>
        </w:tc>
      </w:tr>
      <w:tr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过程记录中心</w:t>
            </w:r>
          </w:p>
        </w:tc>
        <w:tc>
          <w:tcPr>
            <w:tcW w:type="dxa" w:w="33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记录每一次输入、建议、批准、发送、订单、履约和异常，便于追溯。</w:t>
            </w:r>
          </w:p>
        </w:tc>
        <w:tc>
          <w:tcPr>
            <w:tcW w:type="dxa" w:w="15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全部模块的过程记录</w:t>
            </w:r>
          </w:p>
        </w:tc>
        <w:tc>
          <w:tcPr>
            <w:tcW w:type="dxa" w:w="18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记录不可被普通账号随意删除</w:t>
            </w:r>
          </w:p>
        </w:tc>
        <w:tc>
          <w:tcPr>
            <w:tcW w:type="dxa" w:w="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5"/>
              </w:rPr>
              <w:t>系统管理员</w:t>
            </w:r>
          </w:p>
        </w:tc>
      </w:tr>
    </w:tbl>
    <w:p>
      <w:pPr>
        <w:spacing w:after="40"/>
      </w:pPr>
    </w:p>
    <w:p>
      <w:pPr>
        <w:pStyle w:val="Heading1"/>
      </w:pPr>
      <w:r>
        <w:t>八个模块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86"/>
        <w:gridCol w:w="1551"/>
        <w:gridCol w:w="1440"/>
        <w:gridCol w:w="1329"/>
        <w:gridCol w:w="1440"/>
        <w:gridCol w:w="1385"/>
        <w:gridCol w:w="1329"/>
      </w:tblGrid>
      <w:tr>
        <w:trPr>
          <w:tblHeader w:val="true"/>
        </w:trPr>
        <w:tc>
          <w:tcPr>
            <w:tcW w:type="dxa" w:w="88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模块</w:t>
            </w:r>
          </w:p>
        </w:tc>
        <w:tc>
          <w:tcPr>
            <w:tcW w:type="dxa" w:w="155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目标</w:t>
            </w:r>
          </w:p>
        </w:tc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读取信息</w:t>
            </w:r>
          </w:p>
        </w:tc>
        <w:tc>
          <w:tcPr>
            <w:tcW w:type="dxa" w:w="132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产出</w:t>
            </w:r>
          </w:p>
        </w:tc>
        <w:tc>
          <w:tcPr>
            <w:tcW w:type="dxa" w:w="14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人工确认</w:t>
            </w:r>
          </w:p>
        </w:tc>
        <w:tc>
          <w:tcPr>
            <w:tcW w:type="dxa" w:w="138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异常回退</w:t>
            </w:r>
          </w:p>
        </w:tc>
        <w:tc>
          <w:tcPr>
            <w:tcW w:type="dxa" w:w="132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验收</w:t>
            </w:r>
          </w:p>
        </w:tc>
      </w:tr>
      <w:tr>
        <w:tc>
          <w:tcPr>
            <w:tcW w:type="dxa" w:w="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市场情报模块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持续判断哪个城市、品类、渠道和消费场景更值得先做。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政府与贸易数据、平台公开页面、竞品价格、内容趋势、成交与复购结果</w:t>
            </w:r>
          </w:p>
        </w:tc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城市与品类优先级、价格变化、渠道变化、每周简报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进入新城市、调整主品类和修改判断权重</w:t>
            </w:r>
          </w:p>
        </w:tc>
        <w:tc>
          <w:tcPr>
            <w:tcW w:type="dxa" w:w="1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来源失效时保留上次值并标记过期，不自动填补</w:t>
            </w:r>
          </w:p>
        </w:tc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重点结论有可追溯来源；变更能在周报中说明原因</w:t>
            </w:r>
          </w:p>
        </w:tc>
      </w:tr>
      <w:tr>
        <w:tc>
          <w:tcPr>
            <w:tcW w:type="dxa" w:w="8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产品匹配模块</w:t>
            </w:r>
          </w:p>
        </w:tc>
        <w:tc>
          <w:tcPr>
            <w:tcW w:type="dxa" w:w="15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把真实可售商品匹配到城市、采购类型、家庭人群、场景和渠道。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供应链真值、品类评分、需求、历史询价、损耗和退货</w:t>
            </w:r>
          </w:p>
        </w:tc>
        <w:tc>
          <w:tcPr>
            <w:tcW w:type="dxa" w:w="13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推荐商品组合、包装建议、替代品、风险和是否进入测试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正式报价、缺货替换、跨城市配送</w:t>
            </w:r>
          </w:p>
        </w:tc>
        <w:tc>
          <w:tcPr>
            <w:tcW w:type="dxa" w:w="13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真值缺失时退回补资料清单</w:t>
            </w:r>
          </w:p>
        </w:tc>
        <w:tc>
          <w:tcPr>
            <w:tcW w:type="dxa" w:w="13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推荐与真实库存、价格、可送区域的一致率不低于95%</w:t>
            </w:r>
          </w:p>
        </w:tc>
      </w:tr>
      <w:tr>
        <w:tc>
          <w:tcPr>
            <w:tcW w:type="dxa" w:w="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B2B获客模块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把公开可验证的采购单位推进到沟通、试样、小单和复购。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官网、地图、协会名录、公开企业页、产品匹配结果</w:t>
            </w:r>
          </w:p>
        </w:tc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去重名单、优先级、联系草稿、下一步和停止联系提醒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首次发送、电话、会面、样品、正式报价和合同</w:t>
            </w:r>
          </w:p>
        </w:tc>
        <w:tc>
          <w:tcPr>
            <w:tcW w:type="dxa" w:w="1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14天无回复降级；明确拒绝立即停止</w:t>
            </w:r>
          </w:p>
        </w:tc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以有效沟通、试样、订单和复购为准，不以名单数量为准</w:t>
            </w:r>
          </w:p>
        </w:tc>
      </w:tr>
      <w:tr>
        <w:tc>
          <w:tcPr>
            <w:tcW w:type="dxa" w:w="8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内容模块</w:t>
            </w:r>
          </w:p>
        </w:tc>
        <w:tc>
          <w:tcPr>
            <w:tcW w:type="dxa" w:w="15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用真实、易懂的内容解释品类、做法、规格、安全和消费场景。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市场趋势、真实商品资料、常见问题、真实订单反馈、授权素材</w:t>
            </w:r>
          </w:p>
        </w:tc>
        <w:tc>
          <w:tcPr>
            <w:tcW w:type="dxa" w:w="13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选题、脚本、画面要求、字幕、封面、排期和复盘建议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公开发布、尼泊尔语、食品安全、价格和合作案例</w:t>
            </w:r>
          </w:p>
        </w:tc>
        <w:tc>
          <w:tcPr>
            <w:tcW w:type="dxa" w:w="13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审校不通过时转为内部培训材料</w:t>
            </w:r>
          </w:p>
        </w:tc>
        <w:tc>
          <w:tcPr>
            <w:tcW w:type="dxa" w:w="13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不出现虚假商品与承诺；有效询问和订单归因可追踪</w:t>
            </w:r>
          </w:p>
        </w:tc>
      </w:tr>
      <w:tr>
        <w:tc>
          <w:tcPr>
            <w:tcW w:type="dxa" w:w="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AI咨询与销售模块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回答常见问题、收集需求、推荐商品并把高风险问题转人工。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真值中心、产品匹配结果、已批准话术、订单与售后状态</w:t>
            </w:r>
          </w:p>
        </w:tc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回答、推荐、订单提示、缺失信息清单和人工接管请求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正式报价、退款、投诉、冷链异常、账期、独家和大额订单</w:t>
            </w:r>
          </w:p>
        </w:tc>
        <w:tc>
          <w:tcPr>
            <w:tcW w:type="dxa" w:w="1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无法确认时停止自动回答并转人工</w:t>
            </w:r>
          </w:p>
        </w:tc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误承诺为0；常见问题准确率不低于95%</w:t>
            </w:r>
          </w:p>
        </w:tc>
      </w:tr>
      <w:tr>
        <w:tc>
          <w:tcPr>
            <w:tcW w:type="dxa" w:w="8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广告模块</w:t>
            </w:r>
          </w:p>
        </w:tc>
        <w:tc>
          <w:tcPr>
            <w:tcW w:type="dxa" w:w="15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在平台允许、供应稳定和自然成交已经验证后放大有效素材。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已批准素材、可送区域、库存余量、平台规则、商城成交数据</w:t>
            </w:r>
          </w:p>
        </w:tc>
        <w:tc>
          <w:tcPr>
            <w:tcW w:type="dxa" w:w="13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测试预算、素材组合、暂停建议、放量建议和复盘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开户、付款、预算变化、正式上线和大幅放量</w:t>
            </w:r>
          </w:p>
        </w:tc>
        <w:tc>
          <w:tcPr>
            <w:tcW w:type="dxa" w:w="13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规则变化、拒登、库存紧张或成本超限时立即暂停</w:t>
            </w:r>
          </w:p>
        </w:tc>
        <w:tc>
          <w:tcPr>
            <w:tcW w:type="dxa" w:w="13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能追踪到有效询问和真实成交；不只看点击</w:t>
            </w:r>
          </w:p>
        </w:tc>
      </w:tr>
      <w:tr>
        <w:tc>
          <w:tcPr>
            <w:tcW w:type="dxa" w:w="8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CRM协作模块</w:t>
            </w:r>
          </w:p>
        </w:tc>
        <w:tc>
          <w:tcPr>
            <w:tcW w:type="dxa" w:w="1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统一管理采购单位与消费者的进展、提醒、订单、售后和复购。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获客、咨询、报价、样品、订单、配送、售后与复购记录</w:t>
            </w:r>
          </w:p>
        </w:tc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待办、提醒、漏斗、沉默对象唤醒和复购计划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特殊价格、投诉、退款、坏账、独家和停止合作</w:t>
            </w:r>
          </w:p>
        </w:tc>
        <w:tc>
          <w:tcPr>
            <w:tcW w:type="dxa" w:w="1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资料不全时保留待验证，不自动补齐</w:t>
            </w:r>
          </w:p>
        </w:tc>
        <w:tc>
          <w:tcPr>
            <w:tcW w:type="dxa" w:w="1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关键进展可追溯；90%以上活跃记录有下一步与日期</w:t>
            </w:r>
          </w:p>
        </w:tc>
      </w:tr>
      <w:tr>
        <w:tc>
          <w:tcPr>
            <w:tcW w:type="dxa" w:w="88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数据分析模块</w:t>
            </w:r>
          </w:p>
        </w:tc>
        <w:tc>
          <w:tcPr>
            <w:tcW w:type="dxa" w:w="155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按城市、品类、渠道和场景给出继续、调整或暂停建议。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内容、广告、CRM、订单、配送、退款、复购与毛利</w:t>
            </w:r>
          </w:p>
        </w:tc>
        <w:tc>
          <w:tcPr>
            <w:tcW w:type="dxa" w:w="13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周报、月报、未成交原因、实验建议和阶段决策</w:t>
            </w:r>
          </w:p>
        </w:tc>
        <w:tc>
          <w:tcPr>
            <w:tcW w:type="dxa" w:w="14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扩城、扩品类、加预算和停品</w:t>
            </w:r>
          </w:p>
        </w:tc>
        <w:tc>
          <w:tcPr>
            <w:tcW w:type="dxa" w:w="138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缺失数据明确显示，不进行猜测补齐</w:t>
            </w:r>
          </w:p>
        </w:tc>
        <w:tc>
          <w:tcPr>
            <w:tcW w:type="dxa" w:w="13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能清楚说明为什么继续、调整或暂停</w:t>
            </w:r>
          </w:p>
        </w:tc>
      </w:tr>
    </w:tbl>
    <w:p>
      <w:pPr>
        <w:spacing w:after="40"/>
      </w:pPr>
    </w:p>
    <w:p>
      <w:pPr>
        <w:pStyle w:val="Heading1"/>
      </w:pPr>
      <w:r>
        <w:t>最小闭环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真值中心只放 10-20 个经过核实的商品和可送区域。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市场情报模块筛出一个城市、两类采购群体和 20-50 个公开组织。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产品匹配模块只根据真实供应资料给出候选。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获客模块生成草稿，人工发送 15-25 条首轮联系。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咨询与销售模块收集需求，正式报价和样品继续由人工确认。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CRM记录有效沟通、拒绝、样品、试单、配送、回款和补货。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数据分析模块在 30、60、90 天给出继续、调整或暂停建议。</w:t>
            </w:r>
          </w:p>
        </w:tc>
      </w:tr>
    </w:tbl>
    <w:p>
      <w:pPr>
        <w:spacing w:after="40"/>
      </w:pPr>
    </w:p>
    <w:p>
      <w:pPr>
        <w:pStyle w:val="Heading1"/>
      </w:pPr>
      <w:r>
        <w:t>人工确认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4464"/>
        <w:gridCol w:w="2736"/>
      </w:tblGrid>
      <w:tr>
        <w:trPr>
          <w:tblHeader w:val="true"/>
        </w:trPr>
        <w:tc>
          <w:tcPr>
            <w:tcW w:type="dxa" w:w="21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高风险动作</w:t>
            </w:r>
          </w:p>
        </w:tc>
        <w:tc>
          <w:tcPr>
            <w:tcW w:type="dxa" w:w="44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为什么必须确认</w:t>
            </w:r>
          </w:p>
        </w:tc>
        <w:tc>
          <w:tcPr>
            <w:tcW w:type="dxa" w:w="27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确认人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正式报价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涉及价格、库存、税费、有效期和履约承诺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销售与供应链负责人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样品与试单</w:t>
            </w:r>
          </w:p>
        </w:tc>
        <w:tc>
          <w:tcPr>
            <w:tcW w:type="dxa" w:w="44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涉及真实成本、食品安全和配送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项目与供应链负责人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平台发布与广告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涉及公开承诺、账号规则和预算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内容、合规与预算负责人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退款、投诉与冷链异常</w:t>
            </w:r>
          </w:p>
        </w:tc>
        <w:tc>
          <w:tcPr>
            <w:tcW w:type="dxa" w:w="44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涉及食安、赔付和声誉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售后、供应链与项目负责人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账期、独家、合同与大额订单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涉及法律和回款风险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项目决策组</w:t>
            </w:r>
          </w:p>
        </w:tc>
      </w:tr>
      <w:tr>
        <w:tc>
          <w:tcPr>
            <w:tcW w:type="dxa" w:w="21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扩城、扩品与放量</w:t>
            </w:r>
          </w:p>
        </w:tc>
        <w:tc>
          <w:tcPr>
            <w:tcW w:type="dxa" w:w="44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可能放大库存、履约和合规风险</w:t>
            </w:r>
          </w:p>
        </w:tc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项目决策组</w:t>
            </w:r>
          </w:p>
        </w:tc>
      </w:tr>
    </w:tbl>
    <w:p>
      <w:pPr>
        <w:spacing w:after="40"/>
      </w:pPr>
    </w:p>
    <w:p>
      <w:pPr>
        <w:pStyle w:val="Heading1"/>
      </w:pPr>
      <w:r>
        <w:t>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部分</w:t>
            </w:r>
          </w:p>
        </w:tc>
        <w:tc>
          <w:tcPr>
            <w:tcW w:type="dxa" w:w="74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最低验收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真值中心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价格、库存、配送和合规缺失时能阻断输出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问答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常见问题准确率不低于 95%，误承诺为 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草稿审批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未批准的首次联系、报价与发布不能发送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CRM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90%以上活跃记录有下一步与日期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日志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能看到来源、真值版本、草稿、批准、发送和结果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回退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平台、支付、库存、价格和冷链异常都有可执行处理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E-Commerce Act 2081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线上经营的本地法律复核入口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S18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Privacy Act 2075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2018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个人信息最小化与保护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S19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Electronic Transactions Act 2063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Law Commission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2008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电子记录与交易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S20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Monthly Payment Systems Indicators: Asoj 2082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移动银行、电子钱包、二维码和电商支付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S21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Payment Systems Department and licensed providers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Rastra Bank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支付服务机构官方入口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S22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TikTok Shop and Showcase availability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Shop市场清单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S23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regions for self-serve ad account creation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TikTok广告自助开户地区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S24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Available location targeting options by market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 For Business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TikTok广告地区定向限制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S27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About Daraz Nepal and payment methods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Daraz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平台官方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商家入口、支付方式与平台存在性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lawcommission.gov.np/content/13517/electricity-trade--e-workers--act--2081/" TargetMode="External"/><Relationship Id="rId13" Type="http://schemas.openxmlformats.org/officeDocument/2006/relationships/hyperlink" Target="https://lawcommission.gov.np/content/12261/12261-the-privacy-act-2075/" TargetMode="External"/><Relationship Id="rId14" Type="http://schemas.openxmlformats.org/officeDocument/2006/relationships/hyperlink" Target="https://lawcommission.gov.np/content/13397/electronic--electronic--traded-international-act--2063/" TargetMode="External"/><Relationship Id="rId15" Type="http://schemas.openxmlformats.org/officeDocument/2006/relationships/hyperlink" Target="https://www.nrb.org.np/contents/uploads/2025/11/2082_06-PS-Indicator.pdf" TargetMode="External"/><Relationship Id="rId16" Type="http://schemas.openxmlformats.org/officeDocument/2006/relationships/hyperlink" Target="https://www.nrb.org.np/departments/psd/" TargetMode="External"/><Relationship Id="rId17" Type="http://schemas.openxmlformats.org/officeDocument/2006/relationships/hyperlink" Target="https://ads.tiktok.com/help/article/tiktok-shopping-and-showcase?redirected=1" TargetMode="External"/><Relationship Id="rId18" Type="http://schemas.openxmlformats.org/officeDocument/2006/relationships/hyperlink" Target="https://ads.tiktok.com/help/article/available-countries-and-regions-for-ad-account-creation-in-bc" TargetMode="External"/><Relationship Id="rId19" Type="http://schemas.openxmlformats.org/officeDocument/2006/relationships/hyperlink" Target="https://ads.tiktok.com/help/article/placements-available-locations?lang=en" TargetMode="External"/><Relationship Id="rId20" Type="http://schemas.openxmlformats.org/officeDocument/2006/relationships/hyperlink" Target="https://www.daraz.com.np/about-dara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11_AI销售系统总体架构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