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AI Agent功能与数据流设计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八个 AI 协作模块如何读取、判断、输出和转人工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数据流总览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模块说明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权限与日志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异常与回退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对接顺序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验收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数据流总览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所有外部承诺都要经过人工确认；结果回流用于修正判断。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880"/>
        <w:gridCol w:w="2592"/>
        <w:gridCol w:w="1872"/>
      </w:tblGrid>
      <w:tr>
        <w:trPr>
          <w:tblHeader w:val="true"/>
        </w:trPr>
        <w:tc>
          <w:tcPr>
            <w:tcW w:type="dxa" w:w="20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起点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经过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终点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回流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官方与公开网页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市场情报、来源索引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城市、品类、渠道候选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价格与规则变化</w:t>
            </w:r>
          </w:p>
        </w:tc>
      </w:tr>
      <w:tr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供应方与进口方资料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真值中心、产品匹配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可售商品与阻断清单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库存、履约、退货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公开组织与消费者询问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获客、咨询、CRM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草稿、报价准备与人工待办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回复、拒绝、订单与补货</w:t>
            </w:r>
          </w:p>
        </w:tc>
      </w:tr>
      <w:tr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内容与广告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发布审批、转化追踪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站外页面与订单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询问、成交、成本与投诉</w:t>
            </w:r>
          </w:p>
        </w:tc>
      </w:tr>
    </w:tbl>
    <w:p>
      <w:pPr>
        <w:spacing w:after="40"/>
      </w:pPr>
    </w:p>
    <w:p>
      <w:pPr>
        <w:pStyle w:val="Heading1"/>
      </w:pPr>
      <w:r>
        <w:t>模块说明</w:t>
      </w:r>
    </w:p>
    <w:p>
      <w:pPr>
        <w:pStyle w:val="Heading2"/>
      </w:pPr>
      <w:r>
        <w:t>1. 市场情报模块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7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目标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持续判断哪个城市、品类、渠道和消费场景更值得先做。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读取信息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政府与贸易数据、平台公开页面、竞品价格、内容趋势、成交与复购结果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判断规则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单一低质量来源不能形成核心结论；来源冲突时降级为待验证。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输出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城市与品类优先级、价格变化、渠道变化、每周简报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何时触发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每日抓取可公开数据；每周汇总；重大政策变化即时提醒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人工确认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进入新城市、调整主品类和修改判断权重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记录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来源链接、抓取日期、变化前后、采用或驳回原因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只读公开来源和授权数据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异常回退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来源失效时保留上次值并标记过期，不自动填补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验收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重点结论有可追溯来源；变更能在周报中说明原因</w:t>
            </w:r>
          </w:p>
        </w:tc>
      </w:tr>
    </w:tbl>
    <w:p>
      <w:pPr>
        <w:spacing w:after="40"/>
      </w:pPr>
    </w:p>
    <w:p>
      <w:pPr>
        <w:pStyle w:val="Heading2"/>
      </w:pPr>
      <w:r>
        <w:t>2. 产品匹配模块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7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目标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把真实可售商品匹配到城市、采购类型、家庭人群、场景和渠道。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读取信息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供应链真值、品类评分、需求、历史询价、损耗和退货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判断规则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没有真实价格、库存、配送时效或最低订货量时，只给候选组合，不给正式承诺。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输出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推荐商品组合、包装建议、替代品、风险和是否进入测试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何时触发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新商品加入、库存或价格变化、新询问到达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人工确认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正式报价、缺货替换、跨城市配送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记录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采用的真值版本、推荐原因、人工修改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只读真值中心；写推荐结果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异常回退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真值缺失时退回补资料清单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验收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推荐与真实库存、价格、可送区域的一致率不低于95%</w:t>
            </w:r>
          </w:p>
        </w:tc>
      </w:tr>
    </w:tbl>
    <w:p>
      <w:pPr>
        <w:spacing w:after="40"/>
      </w:pPr>
    </w:p>
    <w:p>
      <w:pPr>
        <w:pStyle w:val="Heading2"/>
      </w:pPr>
      <w:r>
        <w:t>3. B2B获客模块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7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目标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把公开可验证的采购单位推进到沟通、试样、小单和复购。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读取信息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官网、地图、协会名录、公开企业页、产品匹配结果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判断规则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名称、城市、类别和至少一处公开来源才可入库；高优先对象需两处来源；禁止无差别群发。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输出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去重名单、优先级、联系草稿、下一步和停止联系提醒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何时触发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新增名单、到期跟进、回复或拒绝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人工确认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首次发送、电话、会面、样品、正式报价和合同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记录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发现来源、评分、草稿、批准、发送、回复和停止原因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只读公开商务信息；不能收集非公开个人资料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异常回退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14天无回复降级；明确拒绝立即停止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验收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以有效沟通、试样、订单和复购为准，不以名单数量为准</w:t>
            </w:r>
          </w:p>
        </w:tc>
      </w:tr>
    </w:tbl>
    <w:p>
      <w:pPr>
        <w:spacing w:after="40"/>
      </w:pPr>
    </w:p>
    <w:p>
      <w:pPr>
        <w:pStyle w:val="Heading2"/>
      </w:pPr>
      <w:r>
        <w:t>4. 内容模块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7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目标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用真实、易懂的内容解释品类、做法、规格、安全和消费场景。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读取信息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市场趋势、真实商品资料、常见问题、真实订单反馈、授权素材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判断规则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没有真实商品、库存、价格、检测或合作证明时，不得写成已经存在。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输出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选题、脚本、画面要求、字幕、封面、排期和复盘建议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何时触发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每周选题；高频问题和趋势变化触发加题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人工确认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公开发布、尼泊尔语、食品安全、价格和合作案例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记录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素材来源、审校人、版本、发布时间和表现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只读已批准资料；不能修改供应链真值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异常回退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审校不通过时转为内部培训材料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验收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不出现虚假商品与承诺；有效询问和订单归因可追踪</w:t>
            </w:r>
          </w:p>
        </w:tc>
      </w:tr>
    </w:tbl>
    <w:p>
      <w:pPr>
        <w:spacing w:after="40"/>
      </w:pPr>
    </w:p>
    <w:p>
      <w:pPr>
        <w:pStyle w:val="Heading2"/>
      </w:pPr>
      <w:r>
        <w:t>5. AI咨询与销售模块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7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目标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回答常见问题、收集需求、推荐商品并把高风险问题转人工。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读取信息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真值中心、产品匹配结果、已批准话术、订单与售后状态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判断规则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只回答已经确认的价格、库存、配送、做法和售后；不确定时明确说需要人工确认。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输出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回答、推荐、订单提示、缺失信息清单和人工接管请求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何时触发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网页、私信、Viber、WhatsApp或平台咨询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人工确认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正式报价、退款、投诉、冷链异常、账期、独家和大额订单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记录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问题、读取的真值版本、回答、接管与结果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只读真值；可写会话和需求，不可改价格库存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异常回退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无法确认时停止自动回答并转人工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验收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误承诺为0；常见问题准确率不低于95%</w:t>
            </w:r>
          </w:p>
        </w:tc>
      </w:tr>
    </w:tbl>
    <w:p>
      <w:pPr>
        <w:spacing w:after="40"/>
      </w:pPr>
    </w:p>
    <w:p>
      <w:pPr>
        <w:pStyle w:val="Heading2"/>
      </w:pPr>
      <w:r>
        <w:t>6. 广告模块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7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目标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在平台允许、供应稳定和自然成交已经验证后放大有效素材。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读取信息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已批准素材、可送区域、库存余量、平台规则、商城成交数据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判断规则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广告后置；没有可用后台、真实转化追踪、库存和配送承接时不投。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输出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测试预算、素材组合、暂停建议、放量建议和复盘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何时触发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自然成交与履约达到闸门后；每天监测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人工确认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开户、付款、预算变化、正式上线和大幅放量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记录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账户、预算、素材、审核、花费、成交与调整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仅操作授权广告账户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异常回退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规则变化、拒登、库存紧张或成本超限时立即暂停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验收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能追踪到有效询问和真实成交；不只看点击</w:t>
            </w:r>
          </w:p>
        </w:tc>
      </w:tr>
    </w:tbl>
    <w:p>
      <w:pPr>
        <w:spacing w:after="40"/>
      </w:pPr>
    </w:p>
    <w:p>
      <w:pPr>
        <w:pStyle w:val="Heading2"/>
      </w:pPr>
      <w:r>
        <w:t>7. CRM协作模块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7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目标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统一管理采购单位与消费者的进展、提醒、订单、售后和复购。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读取信息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获客、咨询、报价、样品、订单、配送、售后与复购记录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判断规则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状态只能按真实动作升级；口头兴趣、寄出样品和订单不能互相替代。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输出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待办、提醒、漏斗、沉默对象唤醒和复购计划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何时触发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每次互动后实时更新；每天生成待办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人工确认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特殊价格、投诉、退款、坏账、独家和停止合作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记录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每次状态变化的时间、证据和操作者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写业务状态；不能改供应链真值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异常回退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资料不全时保留待验证，不自动补齐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验收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关键进展可追溯；90%以上活跃记录有下一步与日期</w:t>
            </w:r>
          </w:p>
        </w:tc>
      </w:tr>
    </w:tbl>
    <w:p>
      <w:pPr>
        <w:spacing w:after="40"/>
      </w:pPr>
    </w:p>
    <w:p>
      <w:pPr>
        <w:pStyle w:val="Heading2"/>
      </w:pPr>
      <w:r>
        <w:t>8. 数据分析模块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77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目标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按城市、品类、渠道和场景给出继续、调整或暂停建议。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读取信息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内容、广告、CRM、订单、配送、退款、复购与毛利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判断规则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以真实成交、复购、履约和可持续利润为核心；小样本不做伪精确结论。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输出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周报、月报、未成交原因、实验建议和阶段决策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何时触发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每日同步；每周复盘；30/60/90天决策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人工确认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扩城、扩品类、加预算和停品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记录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采用的数据、计算口径、建议和最终决定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只读分析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异常回退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缺失数据明确显示，不进行猜测补齐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验收</w:t>
            </w:r>
          </w:p>
        </w:tc>
        <w:tc>
          <w:tcPr>
            <w:tcW w:type="dxa" w:w="77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能清楚说明为什么继续、调整或暂停</w:t>
            </w:r>
          </w:p>
        </w:tc>
      </w:tr>
    </w:tbl>
    <w:p>
      <w:pPr>
        <w:spacing w:after="40"/>
      </w:pPr>
    </w:p>
    <w:p>
      <w:pPr>
        <w:pStyle w:val="Heading1"/>
      </w:pPr>
      <w:r>
        <w:t>权限与日志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168"/>
        <w:gridCol w:w="2520"/>
        <w:gridCol w:w="2088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1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可以做</w:t>
            </w:r>
          </w:p>
        </w:tc>
        <w:tc>
          <w:tcPr>
            <w:tcW w:type="dxa" w:w="25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不能做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必须记录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研究协作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读取公开网页、形成候选和引用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访问非公开资料、绕过登录与验证码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来源、时间、判断和变化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销售协作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生成联系、回答与报价草稿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直接发送、修改真值或承诺例外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使用的真值版本和人工决定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内容协作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生成选题、脚本和版本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发布、编造商品与评价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素材来源、审校与发布结果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分析协作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汇总成交、复购、履约与成本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用缺失数据做确定结论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口径、缺失项和建议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人工负责人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批准、驳回、修改与现实执行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删除审计记录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决定、理由、时间和结果</w:t>
            </w:r>
          </w:p>
        </w:tc>
      </w:tr>
    </w:tbl>
    <w:p>
      <w:pPr>
        <w:spacing w:after="40"/>
      </w:pPr>
    </w:p>
    <w:p>
      <w:pPr>
        <w:pStyle w:val="Heading1"/>
      </w:pPr>
      <w:r>
        <w:t>异常与回退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600"/>
        <w:gridCol w:w="3528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系统动作</w:t>
            </w:r>
          </w:p>
        </w:tc>
        <w:tc>
          <w:tcPr>
            <w:tcW w:type="dxa" w:w="35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人工动作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价格或库存过期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停止报价并标红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从供应方重新确认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平台功能不可用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切回站外或自然渠道</w:t>
            </w:r>
          </w:p>
        </w:tc>
        <w:tc>
          <w:tcPr>
            <w:tcW w:type="dxa" w:w="35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复核账号和官方规则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支付失败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保留订单但不出库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人工对账或换收款方式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冷链异常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停止同批次订单</w:t>
            </w:r>
          </w:p>
        </w:tc>
        <w:tc>
          <w:tcPr>
            <w:tcW w:type="dxa" w:w="35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隔离、调查、退款或召回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误答或误承诺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终止自动回答并保留记录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主动更正、处理影响并复盘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数据冲突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显示冲突并不自动合并</w:t>
            </w:r>
          </w:p>
        </w:tc>
        <w:tc>
          <w:tcPr>
            <w:tcW w:type="dxa" w:w="35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决定采用哪一项并说明理由</w:t>
            </w:r>
          </w:p>
        </w:tc>
      </w:tr>
    </w:tbl>
    <w:p>
      <w:pPr>
        <w:spacing w:after="40"/>
      </w:pPr>
    </w:p>
    <w:p>
      <w:pPr>
        <w:pStyle w:val="Heading1"/>
      </w:pPr>
      <w:r>
        <w:t>对接顺序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供应链真值与合规闸门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来源索引与公开名单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产品匹配和审批队列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CRM与咨询转人工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订单、库存、支付和配送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内容生产与站外页面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广告闸门与数据分析</w:t>
            </w:r>
          </w:p>
        </w:tc>
      </w:tr>
    </w:tbl>
    <w:p>
      <w:pPr>
        <w:spacing w:after="40"/>
      </w:pPr>
    </w:p>
    <w:p>
      <w:pPr>
        <w:pStyle w:val="Heading1"/>
      </w:pPr>
      <w:r>
        <w:t>验收</w:t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通过标准  </w:t>
      </w:r>
      <w:r>
        <w:rPr>
          <w:rFonts w:ascii="Hiragino Sans GB" w:hAnsi="Hiragino Sans GB" w:eastAsia="Hiragino Sans GB"/>
          <w:color w:val="1F2937"/>
          <w:sz w:val="21"/>
        </w:rPr>
        <w:t>不是“模块能运行”，而是能在资料缺失、价格过期、库存不足、平台不可用、支付失败和冷链异常时正确停下，并把问题交给明确责任人。</w:t>
      </w: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Electronic Transactions Act 2063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2008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电子记录与交易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Monthly Payment Systems Indicators: Asoj 2082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移动银行、电子钱包、二维码和电商支付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Payment Systems Department and licensed providers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支付服务机构官方入口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lawcommission.gov.np/content/13517/electricity-trade--e-workers--act--2081/" TargetMode="External"/><Relationship Id="rId13" Type="http://schemas.openxmlformats.org/officeDocument/2006/relationships/hyperlink" Target="https://lawcommission.gov.np/content/12261/12261-the-privacy-act-2075/" TargetMode="External"/><Relationship Id="rId14" Type="http://schemas.openxmlformats.org/officeDocument/2006/relationships/hyperlink" Target="https://lawcommission.gov.np/content/13397/electronic--electronic--traded-international-act--2063/" TargetMode="External"/><Relationship Id="rId15" Type="http://schemas.openxmlformats.org/officeDocument/2006/relationships/hyperlink" Target="https://www.nrb.org.np/contents/uploads/2025/11/2082_06-PS-Indicator.pdf" TargetMode="External"/><Relationship Id="rId16" Type="http://schemas.openxmlformats.org/officeDocument/2006/relationships/hyperlink" Target="https://www.nrb.org.np/departments/psd/" TargetMode="External"/><Relationship Id="rId17" Type="http://schemas.openxmlformats.org/officeDocument/2006/relationships/hyperlink" Target="https://ads.tiktok.com/help/article/tiktok-shopping-and-showcase?redirected=1" TargetMode="External"/><Relationship Id="rId18" Type="http://schemas.openxmlformats.org/officeDocument/2006/relationships/hyperlink" Target="https://ads.tiktok.com/help/article/available-countries-and-regions-for-ad-account-creation-in-bc" TargetMode="External"/><Relationship Id="rId19" Type="http://schemas.openxmlformats.org/officeDocument/2006/relationships/hyperlink" Target="https://ads.tiktok.com/help/article/placements-available-locations?lang=en" TargetMode="External"/><Relationship Id="rId20" Type="http://schemas.openxmlformats.org/officeDocument/2006/relationships/hyperlink" Target="https://www.daraz.com.np/about-dar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12_AI_Agent功能与数据流设计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