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CRM信息项与销售漏斗设计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让名单、沟通、样品、订单和补货保持清晰分层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漏斗口径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核心信息项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状态变化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每日工作台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复购与停止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权限与隐私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漏斗口径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960"/>
        <w:gridCol w:w="3960"/>
      </w:tblGrid>
      <w:tr>
        <w:trPr>
          <w:tblHeader w:val="true"/>
        </w:trPr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9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39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退出到下一步的条件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候选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有组织名称、城市、类别和公开来源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主体、入口与适配性已复核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已核实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公开资料有效且可联系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人工实际发送首次联系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已联系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有发送记录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收到真实回复并讨论需求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已沟通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有需求、规格、用量或采购流程信息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样品或报价获批准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已试样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真实样品已送达并有反馈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真实试单成立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已试单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有订单、收款与履约记录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再次采购或补货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已补货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有第二次真实采购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持续复购或长期协议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暂停／淘汰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拒绝、无需求、负贡献、违规或异常</w:t>
            </w:r>
          </w:p>
        </w:tc>
        <w:tc>
          <w:tcPr>
            <w:tcW w:type="dxa" w:w="3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人工决定是否在未来重启</w:t>
            </w:r>
          </w:p>
        </w:tc>
      </w:tr>
    </w:tbl>
    <w:p>
      <w:pPr>
        <w:spacing w:after="40"/>
      </w:pPr>
    </w:p>
    <w:p>
      <w:pPr>
        <w:pStyle w:val="Heading1"/>
      </w:pPr>
      <w:r>
        <w:t>核心信息项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3"/>
        <w:gridCol w:w="1404"/>
        <w:gridCol w:w="2273"/>
        <w:gridCol w:w="1337"/>
        <w:gridCol w:w="936"/>
        <w:gridCol w:w="1070"/>
        <w:gridCol w:w="1337"/>
      </w:tblGrid>
      <w:tr>
        <w:trPr>
          <w:tblHeader w:val="true"/>
        </w:trPr>
        <w:tc>
          <w:tcPr>
            <w:tcW w:type="dxa" w:w="10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分组</w:t>
            </w:r>
          </w:p>
        </w:tc>
        <w:tc>
          <w:tcPr>
            <w:tcW w:type="dxa" w:w="14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信息项</w:t>
            </w:r>
          </w:p>
        </w:tc>
        <w:tc>
          <w:tcPr>
            <w:tcW w:type="dxa" w:w="22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13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9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更新</w:t>
            </w:r>
          </w:p>
        </w:tc>
        <w:tc>
          <w:tcPr>
            <w:tcW w:type="dxa" w:w="107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是否必填</w:t>
            </w:r>
          </w:p>
        </w:tc>
        <w:tc>
          <w:tcPr>
            <w:tcW w:type="dxa" w:w="13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基本识别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记录编号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系统自动生成的唯一编号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系统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创建时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去重与追溯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基本识别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对象名称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采购单位名称或消费者自愿提供的称呼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公开来源或对话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创建时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是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识别主体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基本识别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城市与区域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实际所在城市和可配送区域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公开来源或对话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变化时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是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判断履约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对象分类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合作类型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酒店、餐厅、零售、经销、家庭等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公开来源与人工判断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确认后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是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决定话术和商品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来源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首次发现渠道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官网、地图、协会、TikTok、Foodmandu等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系统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创建时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是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渠道归因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来源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原始链接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可以复核的公开页面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公开来源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变化时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B2B必填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证据追溯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需求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关注品类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对虾、鱼柳、鱿鱼、三文鱼等的兴趣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对话与行为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每次互动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产品匹配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需求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规格与包装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需要的规格、净重和包装形式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对话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确认后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B2B重要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报价准备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需求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预计用量或人数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餐饮采购量或家庭人数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对话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确认后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推荐数量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商务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价格敏感点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目标区间或对价格的反馈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对话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变化时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否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定价实验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商务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报价版本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使用了哪一版真实价格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真值中心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报价时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报价时必填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避免价格混乱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样品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样品状态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未安排、已批准、已寄出、已试用、已反馈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人工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变化时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否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试样漏斗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订单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订单状态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待确认、已付款、备货、配送、完成、取消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订单系统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实时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下单后必填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履约跟踪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订单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实收金额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真实收款金额与币种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支付系统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付款时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付款后必填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收入核对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履约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配送时效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承诺与实际送达时间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配送系统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完成后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订单后必填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服务质量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履约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温控与异常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收货温度、包装破损、延误或解冻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配送与人工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异常时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异常时必填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食安与售后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售后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问题分类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质量、数量、温度、时效、价格、做法等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人工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发生时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改进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结果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未成交原因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价格、品类、时效、信任、无需求、无回复等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人工或AI归类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关闭时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关闭时必填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复盘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结果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复购日期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下一次预期采购或提醒日期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人工或模型建议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成交后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否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复购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结果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累计价值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已完成订单金额和毛利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订单与财务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每日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成交后必填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价值分层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沟通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下一步动作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联系、寄样、报价、回访或停止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人工确认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每次互动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活跃记录必填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工作队列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沟通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下一步日期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动作应发生的日期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人工确认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每次互动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活跃记录必填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提醒</w:t>
            </w:r>
          </w:p>
        </w:tc>
      </w:tr>
      <w:tr>
        <w:tc>
          <w:tcPr>
            <w:tcW w:type="dxa" w:w="1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隐私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联系许可与停止标记</w:t>
            </w:r>
          </w:p>
        </w:tc>
        <w:tc>
          <w:tcPr>
            <w:tcW w:type="dxa" w:w="2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是否同意接收跟进、是否明确拒绝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对话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变化时</w:t>
            </w:r>
          </w:p>
        </w:tc>
        <w:tc>
          <w:tcPr>
            <w:tcW w:type="dxa" w:w="1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是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合规</w:t>
            </w:r>
          </w:p>
        </w:tc>
      </w:tr>
      <w:tr>
        <w:tc>
          <w:tcPr>
            <w:tcW w:type="dxa" w:w="10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AI建议</w:t>
            </w:r>
          </w:p>
        </w:tc>
        <w:tc>
          <w:tcPr>
            <w:tcW w:type="dxa" w:w="14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建议与理由</w:t>
            </w:r>
          </w:p>
        </w:tc>
        <w:tc>
          <w:tcPr>
            <w:tcW w:type="dxa" w:w="22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下一步建议及使用的证据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数据分析模块</w:t>
            </w:r>
          </w:p>
        </w:tc>
        <w:tc>
          <w:tcPr>
            <w:tcW w:type="dxa" w:w="9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每次复盘</w:t>
            </w:r>
          </w:p>
        </w:tc>
        <w:tc>
          <w:tcPr>
            <w:tcW w:type="dxa" w:w="107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否</w:t>
            </w:r>
          </w:p>
        </w:tc>
        <w:tc>
          <w:tcPr>
            <w:tcW w:type="dxa" w:w="133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辅助判断</w:t>
            </w:r>
          </w:p>
        </w:tc>
      </w:tr>
    </w:tbl>
    <w:p>
      <w:pPr>
        <w:spacing w:after="40"/>
      </w:pPr>
    </w:p>
    <w:p>
      <w:pPr>
        <w:pStyle w:val="Heading1"/>
      </w:pPr>
      <w:r>
        <w:t>状态变化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防止误报  </w:t>
      </w:r>
      <w:r>
        <w:rPr>
          <w:rFonts w:ascii="Hiragino Sans GB" w:hAnsi="Hiragino Sans GB" w:eastAsia="Hiragino Sans GB"/>
          <w:color w:val="1F2937"/>
          <w:sz w:val="21"/>
        </w:rPr>
        <w:t>目录里存在不等于已核实，已发送不等于已沟通，寄出样品不等于订单，订单不等于补货。任何状态升级必须有时间和证据。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5040"/>
        <w:gridCol w:w="2376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50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需要证据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候选→已核实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近期公开页面与入口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市场人员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已核实→已联系</w:t>
            </w:r>
          </w:p>
        </w:tc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真实发送记录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销售人员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已联系→已沟通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对方回复或会议记录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销售人员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已沟通→已试样</w:t>
            </w:r>
          </w:p>
        </w:tc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样品批准、寄送和签收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销售与供应链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已试样→已试单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订单、收款与履约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销售、财务与履约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已试单→已补货</w:t>
            </w:r>
          </w:p>
        </w:tc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第二次真实订单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CRM自动识别＋人工复核</w:t>
            </w:r>
          </w:p>
        </w:tc>
      </w:tr>
    </w:tbl>
    <w:p>
      <w:pPr>
        <w:spacing w:after="40"/>
      </w:pPr>
    </w:p>
    <w:p>
      <w:pPr>
        <w:pStyle w:val="Heading1"/>
      </w:pPr>
      <w:r>
        <w:t>每日工作台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456"/>
        <w:gridCol w:w="4248"/>
      </w:tblGrid>
      <w:tr>
        <w:trPr>
          <w:tblHeader w:val="true"/>
        </w:trPr>
        <w:tc>
          <w:tcPr>
            <w:tcW w:type="dxa" w:w="16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队列</w:t>
            </w:r>
          </w:p>
        </w:tc>
        <w:tc>
          <w:tcPr>
            <w:tcW w:type="dxa" w:w="34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42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当日动作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待核实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公开来源不足或过期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补证或降级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待人工发送</w:t>
            </w:r>
          </w:p>
        </w:tc>
        <w:tc>
          <w:tcPr>
            <w:tcW w:type="dxa" w:w="34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草稿完成且真值通过</w:t>
            </w:r>
          </w:p>
        </w:tc>
        <w:tc>
          <w:tcPr>
            <w:tcW w:type="dxa" w:w="4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审核与发送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待报价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需求清楚但商务条件未批准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补齐价格、库存、税费与有效期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待样品</w:t>
            </w:r>
          </w:p>
        </w:tc>
        <w:tc>
          <w:tcPr>
            <w:tcW w:type="dxa" w:w="34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样品方向确认</w:t>
            </w:r>
          </w:p>
        </w:tc>
        <w:tc>
          <w:tcPr>
            <w:tcW w:type="dxa" w:w="4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批准成本、安排发货与反馈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待售后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温控、破损、少件、延误或退款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优先人工处理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待复购</w:t>
            </w:r>
          </w:p>
        </w:tc>
        <w:tc>
          <w:tcPr>
            <w:tcW w:type="dxa" w:w="34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接近实际消耗周期</w:t>
            </w:r>
          </w:p>
        </w:tc>
        <w:tc>
          <w:tcPr>
            <w:tcW w:type="dxa" w:w="4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个性化提醒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停止联系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明确拒绝或要求停止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永久阻断自动跟进</w:t>
            </w:r>
          </w:p>
        </w:tc>
      </w:tr>
    </w:tbl>
    <w:p>
      <w:pPr>
        <w:spacing w:after="40"/>
      </w:pPr>
    </w:p>
    <w:p>
      <w:pPr>
        <w:pStyle w:val="Heading1"/>
      </w:pPr>
      <w:r>
        <w:t>复购与停止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按真实消耗周期设置提醒，不按固定天数骚扰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提醒前先检查库存、价格和配送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补货以真实第二次订单为准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明确拒绝、投诉未解决或许可不足时停止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沉默对象在 90 天内不自动重启</w:t>
            </w:r>
          </w:p>
        </w:tc>
      </w:tr>
    </w:tbl>
    <w:p>
      <w:pPr>
        <w:spacing w:after="40"/>
      </w:pPr>
    </w:p>
    <w:p>
      <w:pPr>
        <w:pStyle w:val="Heading1"/>
      </w:pPr>
      <w:r>
        <w:t>权限与隐私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做法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最少收集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只保留完成沟通、订单、配送和售后所需信息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公开与自愿</w:t>
            </w:r>
          </w:p>
        </w:tc>
        <w:tc>
          <w:tcPr>
            <w:tcW w:type="dxa" w:w="7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B2B优先公开商务入口；消费者信息来自自愿下单或咨询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分级权限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研究、销售、财务、供应链和管理层只看所需部分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停止权</w:t>
            </w:r>
          </w:p>
        </w:tc>
        <w:tc>
          <w:tcPr>
            <w:tcW w:type="dxa" w:w="7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明确拒绝后立即停止后续联系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可追溯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保留状态变化、读取、修改、批准和发送记录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删除与保留</w:t>
            </w:r>
          </w:p>
        </w:tc>
        <w:tc>
          <w:tcPr>
            <w:tcW w:type="dxa" w:w="7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按当地法律和合同制定周期，过期后安全删除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Electronic Transactions Act 2063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2008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电子记录与交易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awcommission.gov.np/content/13517/electricity-trade--e-workers--act--2081/" TargetMode="External"/><Relationship Id="rId12" Type="http://schemas.openxmlformats.org/officeDocument/2006/relationships/hyperlink" Target="https://lawcommission.gov.np/content/12261/12261-the-privacy-act-2075/" TargetMode="External"/><Relationship Id="rId13" Type="http://schemas.openxmlformats.org/officeDocument/2006/relationships/hyperlink" Target="https://lawcommission.gov.np/content/13397/electronic--electronic--traded-international-act--206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13_CRM信息项与销售漏斗设计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