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供应链资料与数据接口清单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没有真实供应、许可和冷链，就不进入正式销售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上线闸门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供应链信息清单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进口与标签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系统对接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职责边界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报关行问题单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上线闸门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P0原则  </w:t>
      </w:r>
      <w:r>
        <w:rPr>
          <w:rFonts w:ascii="Hiragino Sans GB" w:hAnsi="Hiragino Sans GB" w:eastAsia="Hiragino Sans GB"/>
          <w:color w:val="1F2937"/>
          <w:sz w:val="21"/>
        </w:rPr>
        <w:t>商品、合规、价格、库存和履约中的任何 P0 信息不完整时，不生成正式报价、不公开上架、不收款。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968"/>
        <w:gridCol w:w="2880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9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必须完成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未完成时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研究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公开市场与候选商品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可以继续研究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对外介绍</w:t>
            </w:r>
          </w:p>
        </w:tc>
        <w:tc>
          <w:tcPr>
            <w:tcW w:type="dxa" w:w="4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真实商品、素材和可送范围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只做通用教育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价格、库存、税费、有效期、最低订货量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不得发出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上架收款</w:t>
            </w:r>
          </w:p>
        </w:tc>
        <w:tc>
          <w:tcPr>
            <w:tcW w:type="dxa" w:w="49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进口、标签、支付、库存、配送和售后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不得上线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放量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稳定补货、复购、毛利和异常处理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不扩大</w:t>
            </w:r>
          </w:p>
        </w:tc>
      </w:tr>
    </w:tbl>
    <w:p>
      <w:pPr>
        <w:spacing w:after="40"/>
      </w:pPr>
    </w:p>
    <w:p>
      <w:pPr>
        <w:pStyle w:val="Heading1"/>
      </w:pPr>
      <w:r>
        <w:t>供应链信息清单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960"/>
        <w:gridCol w:w="2700"/>
        <w:gridCol w:w="1200"/>
        <w:gridCol w:w="1200"/>
        <w:gridCol w:w="1080"/>
        <w:gridCol w:w="1500"/>
      </w:tblGrid>
      <w:tr>
        <w:trPr>
          <w:tblHeader w:val="true"/>
        </w:trPr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2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需要提供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最晚时间</w:t>
            </w:r>
          </w:p>
        </w:tc>
        <w:tc>
          <w:tcPr>
            <w:tcW w:type="dxa" w:w="12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载体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更新频率</w:t>
            </w:r>
          </w:p>
        </w:tc>
        <w:tc>
          <w:tcPr>
            <w:tcW w:type="dxa" w:w="15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影响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中文、英文和尼泊尔销售名称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上线前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表格/系统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静态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没有名称无法上架和搜索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品类、处理形态、规格、净重、毛重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上线前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表格/系统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静态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影响价格比较、推荐和物流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包装照片、真实商品图和视频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上线前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文件库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静态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没有真实素材不得做销售内容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成分、添加物、过敏原、营养信息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上线前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表格+证明文件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静态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影响标签、咨询和食安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储存温度、保质期、解冻和烹饪说明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上线前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表格+标签样稿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静态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影响配送、客服和售后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合规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原产地、卫生、检测、进口、标签与批次证明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上线前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文件库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按批次更新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缺失会阻断正式销售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供货价、建议零售价、B2B阶梯价和税费口径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受控表格/系统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没有真价不得正式报价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商务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最低订货量、交货周期、样品与赔付规则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报价前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表格/系统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影响B2B沟通和合同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库存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当前库存、可售、已锁定、缺货和补货日期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销售前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系统对接（API）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实时或每15分钟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避免超卖与错误承诺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履约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可送城市、费用、截止时间和预计送达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销售前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系统对接（API）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实时或每日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决定能否接单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P0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履约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订单、退款和售后状态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销售前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系统对接（API）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实时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支持通知和人工处理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P1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适用场景、推荐做法与份量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内容上线前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表格+审核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影响内容和推荐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P1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促销支持、达人和广告预算边界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投放前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审批表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按活动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没有批准不得投放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P1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商务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定制包装与礼盒能力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相关活动前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变化时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影响节日与礼赠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P1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质量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批次追溯、温控记录与质检记录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规模化前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系统/文件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按批次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提升信任并处理召回</w:t>
            </w:r>
          </w:p>
        </w:tc>
      </w:tr>
      <w:tr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P2</w:t>
            </w:r>
          </w:p>
        </w:tc>
        <w:tc>
          <w:tcPr>
            <w:tcW w:type="dxa" w:w="9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增长</w:t>
            </w:r>
          </w:p>
        </w:tc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新品计划与月度供应上限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扩品前</w:t>
            </w:r>
          </w:p>
        </w:tc>
        <w:tc>
          <w:tcPr>
            <w:tcW w:type="dxa" w:w="1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表格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每月</w:t>
            </w:r>
          </w:p>
        </w:tc>
        <w:tc>
          <w:tcPr>
            <w:tcW w:type="dxa" w:w="15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用于预测和扩张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P2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增长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不同城市的仓配成本和损耗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扩城前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财务与配送数据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决定是否扩城</w:t>
            </w:r>
          </w:p>
        </w:tc>
      </w:tr>
    </w:tbl>
    <w:p>
      <w:pPr>
        <w:spacing w:after="40"/>
      </w:pPr>
    </w:p>
    <w:p>
      <w:pPr>
        <w:pStyle w:val="Heading1"/>
      </w:pPr>
      <w:r>
        <w:t>进口与标签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4320"/>
        <w:gridCol w:w="3456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已确认</w:t>
            </w:r>
          </w:p>
        </w:tc>
        <w:tc>
          <w:tcPr>
            <w:tcW w:type="dxa" w:w="34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待验证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进口许可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食品进口需要走 DFTQC 许可路径；2026 年公告指向 Nepal National Single Window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每个商品需要的具体资料与办理时间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EXIM Code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尼泊尔进口主体需要有效海关注册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实际主体、有效期与授权范围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海关归类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活鲜、鲜冷、冷冻海鲜通常从第 03 章核；加工制备品可能在第 16 章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每个商品准确编码、当期税率和附加税费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标签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包装食品至少要清楚显示批号、生产日期、有效期和净重／计量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是否必须尼泊尔语、完整成分和特定格式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过敏提示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本轮未找到海鲜专门强制条文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鱼类、甲壳类、贝类的当地强制要求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温控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需要按商品和进口许可要求保留储运记录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尼泊尔针对各形态的法定阈值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隐私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收集个人资料要有明确目的、同意和保护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订单页和电商规则的具体展示方式</w:t>
            </w:r>
          </w:p>
        </w:tc>
      </w:tr>
    </w:tbl>
    <w:p>
      <w:pPr>
        <w:spacing w:after="40"/>
      </w:pPr>
    </w:p>
    <w:p>
      <w:pPr>
        <w:pStyle w:val="Heading1"/>
      </w:pPr>
      <w:r>
        <w:t>系统对接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24"/>
        <w:gridCol w:w="2520"/>
        <w:gridCol w:w="2232"/>
      </w:tblGrid>
      <w:tr>
        <w:trPr>
          <w:tblHeader w:val="true"/>
        </w:trP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对接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最少读取</w:t>
            </w:r>
          </w:p>
        </w:tc>
        <w:tc>
          <w:tcPr>
            <w:tcW w:type="dxa" w:w="25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最少写回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异常回退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商品与价格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商品编号、名称、规格、净重、当前价格、有效期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采用的价格版本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过期即停止报价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可售、锁定、缺货、补货日期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订单锁定与释放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不同步时转人工并关闭在线购买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配送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可送区域、费用、截止时间、预计到达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实际揽收、送达与异常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超区或超时不承诺</w:t>
            </w:r>
          </w:p>
        </w:tc>
      </w:tr>
      <w:tr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订单、付款、退款与取消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供应、发货与完成状态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支付失败不出库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批次与质量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批号、日期、温控与质检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签收温度、破损、隔离与召回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异常批次立即停售</w:t>
            </w:r>
          </w:p>
        </w:tc>
      </w:tr>
    </w:tbl>
    <w:p>
      <w:pPr>
        <w:spacing w:after="40"/>
      </w:pPr>
    </w:p>
    <w:p>
      <w:pPr>
        <w:pStyle w:val="Heading1"/>
      </w:pPr>
      <w:r>
        <w:t>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464"/>
        <w:gridCol w:w="2664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44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</w:t>
            </w:r>
          </w:p>
        </w:tc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不应替代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中国供应方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商品、价格、库存、资质、包装、保质期与温控要求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尼泊尔进口许可与本地经营责任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尼泊尔进口方／报关行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海关归类、许可、报关、税费与口岸资料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线上内容与沟通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仓储与配送方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收货、温控、库存、拣货、配送与异常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食品与商务承诺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线上销售团队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商品页面、公开名单、沟通、订单协同与复盘</w:t>
            </w:r>
          </w:p>
        </w:tc>
        <w:tc>
          <w:tcPr>
            <w:tcW w:type="dxa" w:w="2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凭空补齐合规、库存和配送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项目负责人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批准报价、样品、预算、例外和阶段决策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删除审计记录</w:t>
            </w:r>
          </w:p>
        </w:tc>
      </w:tr>
    </w:tbl>
    <w:p>
      <w:pPr>
        <w:spacing w:after="40"/>
      </w:pPr>
    </w:p>
    <w:p>
      <w:pPr>
        <w:pStyle w:val="Heading1"/>
      </w:pPr>
      <w:r>
        <w:t>报关行问题单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每个商品准确的海关编码是什么，落在第 03 章还是第 16 章？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当前财年的关税、增值税、附加税和其他费用是什么？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本项目的进口转售、仓储、分装与零售是否需要额外食品许可？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是否需要卫生证、检验报告、原产地证、冷链证明或特定口岸文件？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标签是否必须尼泊尔语，过敏提示和成分表有什么强制要求？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不同形态的温控、保质期和抽检要求是什么？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经第三地转运是否影响原产地与单证？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首单前是否建议做样品清关或文件预审？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Annual Foreign Trade Statistics Book 2079-80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2022/23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尼泊尔外贸统计原始入口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Act 2023 (1967)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1967,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食品安全、许可、禁止误导和不合格食品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食品进口许可工作量与监管入口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Imports and Transit Procedure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Trade and Export Promotion Centre,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进口主体、信用证、报关与基础单证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stoms.gov.np/content/43/annual-foreign-trade-statistics-book-2079-80/" TargetMode="External"/><Relationship Id="rId12" Type="http://schemas.openxmlformats.org/officeDocument/2006/relationships/hyperlink" Target="https://customs.gov.np/content/46/integrated-tariff-rate/" TargetMode="External"/><Relationship Id="rId13" Type="http://schemas.openxmlformats.org/officeDocument/2006/relationships/hyperlink" Target="https://www.dftqc.gov.np/rules/download-%2813%29-1742819788.pdf" TargetMode="External"/><Relationship Id="rId14" Type="http://schemas.openxmlformats.org/officeDocument/2006/relationships/hyperlink" Target="https://www.dftqc.gov.np/rules/download-%281%29-1742819223.pdf" TargetMode="External"/><Relationship Id="rId15" Type="http://schemas.openxmlformats.org/officeDocument/2006/relationships/hyperlink" Target="https://www.dftqc.gov.np/en/notice-details/136/32788974" TargetMode="External"/><Relationship Id="rId16" Type="http://schemas.openxmlformats.org/officeDocument/2006/relationships/hyperlink" Target="https://www.dftqc.gov.np/downloadfiles/DFTQC-Annual-Bulletin-Eng-2082-Book-for-WEB-%281%29-1779272721.pdf" TargetMode="External"/><Relationship Id="rId17" Type="http://schemas.openxmlformats.org/officeDocument/2006/relationships/hyperlink" Target="https://tepc.gov.np/pages/imports-transit-procedure" TargetMode="External"/><Relationship Id="rId18" Type="http://schemas.openxmlformats.org/officeDocument/2006/relationships/hyperlink" Target="https://lawcommission.gov.np/content/13517/electricity-trade--e-workers--act--2081/" TargetMode="External"/><Relationship Id="rId19" Type="http://schemas.openxmlformats.org/officeDocument/2006/relationships/hyperlink" Target="https://lawcommission.gov.np/content/12261/12261-the-privacy-act-2075/" TargetMode="External"/><Relationship Id="rId20" Type="http://schemas.openxmlformats.org/officeDocument/2006/relationships/hyperlink" Target="https://lawcommission.gov.np/content/13397/electronic--electronic--traded-international-act--206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14_供应链资料与数据接口清单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