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30_60_90天执行计划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从真值与合规，到试单、复购和阶段决策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总目标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阶段路线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周度安排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角色分工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例会口径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90天交付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总目标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204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4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i/>
          <w:color w:val="667085"/>
          <w:sz w:val="17"/>
        </w:rPr>
        <w:t>90 天目标是验证可复制场景，不是追求全国声量。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北极星  </w:t>
      </w:r>
      <w:r>
        <w:rPr>
          <w:rFonts w:ascii="Hiragino Sans GB" w:hAnsi="Hiragino Sans GB" w:eastAsia="Hiragino Sans GB"/>
          <w:color w:val="1F2937"/>
          <w:sz w:val="21"/>
        </w:rPr>
        <w:t>真实成交＋真实补货／复购＋可持续毛利＋稳定履约。播放、名单、已读、样品和首单都不能单独代表成功。</w:t>
      </w:r>
    </w:p>
    <w:p>
      <w:pPr>
        <w:pStyle w:val="Heading1"/>
      </w:pPr>
      <w:r>
        <w:t>阶段路线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16"/>
        <w:gridCol w:w="1156"/>
        <w:gridCol w:w="1927"/>
        <w:gridCol w:w="1542"/>
        <w:gridCol w:w="1487"/>
        <w:gridCol w:w="1376"/>
        <w:gridCol w:w="1156"/>
      </w:tblGrid>
      <w:tr>
        <w:trPr>
          <w:tblHeader w:val="true"/>
        </w:trPr>
        <w:tc>
          <w:tcPr>
            <w:tcW w:type="dxa" w:w="7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时间</w:t>
            </w:r>
          </w:p>
        </w:tc>
        <w:tc>
          <w:tcPr>
            <w:tcW w:type="dxa" w:w="11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目标</w:t>
            </w:r>
          </w:p>
        </w:tc>
        <w:tc>
          <w:tcPr>
            <w:tcW w:type="dxa" w:w="192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动作</w:t>
            </w:r>
          </w:p>
        </w:tc>
        <w:tc>
          <w:tcPr>
            <w:tcW w:type="dxa" w:w="154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产出</w:t>
            </w:r>
          </w:p>
        </w:tc>
        <w:tc>
          <w:tcPr>
            <w:tcW w:type="dxa" w:w="148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通过标准</w:t>
            </w:r>
          </w:p>
        </w:tc>
        <w:tc>
          <w:tcPr>
            <w:tcW w:type="dxa" w:w="13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阻断</w:t>
            </w:r>
          </w:p>
        </w:tc>
        <w:tc>
          <w:tcPr>
            <w:tcW w:type="dxa" w:w="11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责任</w:t>
            </w:r>
          </w:p>
        </w:tc>
      </w:tr>
      <w:tr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0-7天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建立真值与闸门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确认进口主体、可售商品、价格、库存、配送、合规文件；建立状态标签和人工确认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供应链资料模板、阻断清单、10-20个候选商品</w:t>
            </w:r>
          </w:p>
        </w:tc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P0资料至少90%齐全；未齐全商品不报价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P0资料不足或本地合规不清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项目负责人、供应链负责人</w:t>
            </w:r>
          </w:p>
        </w:tc>
      </w:tr>
      <w:tr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8-15天</w:t>
            </w:r>
          </w:p>
        </w:tc>
        <w:tc>
          <w:tcPr>
            <w:tcW w:type="dxa" w:w="11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完成市场与名单验证</w:t>
            </w:r>
          </w:p>
        </w:tc>
        <w:tc>
          <w:tcPr>
            <w:tcW w:type="dxa" w:w="1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复核首城、首品类、50个高优先采购单位、10个竞品价格和3条成交路径</w:t>
            </w:r>
          </w:p>
        </w:tc>
        <w:tc>
          <w:tcPr>
            <w:tcW w:type="dxa" w:w="154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优先名单、价格基准、谷地配送说明</w:t>
            </w:r>
          </w:p>
        </w:tc>
        <w:tc>
          <w:tcPr>
            <w:tcW w:type="dxa" w:w="14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高优先对象至少两处公开来源</w:t>
            </w:r>
          </w:p>
        </w:tc>
        <w:tc>
          <w:tcPr>
            <w:tcW w:type="dxa" w:w="1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联系方式陈旧或冷链无法承接</w:t>
            </w:r>
          </w:p>
        </w:tc>
        <w:tc>
          <w:tcPr>
            <w:tcW w:type="dxa" w:w="11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市场与B2B负责人</w:t>
            </w:r>
          </w:p>
        </w:tc>
      </w:tr>
      <w:tr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16-30天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概念与B2B接触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人工发送15-25条个性化联系；做3类无虚构内容概念；收集5-10次有效沟通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首轮回复、拒绝原因、试样名单、内容测试结果</w:t>
            </w:r>
          </w:p>
        </w:tc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有效沟通不少于5次；0误承诺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不足5次有效沟通且两轮话术均无改善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B2B、内容与本地人员</w:t>
            </w:r>
          </w:p>
        </w:tc>
      </w:tr>
      <w:tr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31-45天</w:t>
            </w:r>
          </w:p>
        </w:tc>
        <w:tc>
          <w:tcPr>
            <w:tcW w:type="dxa" w:w="11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接入真实商品与最小CRM</w:t>
            </w:r>
          </w:p>
        </w:tc>
        <w:tc>
          <w:tcPr>
            <w:tcW w:type="dxa" w:w="1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接入真值中心；上线简易商品页；测试咨询、报价草稿和订单流转</w:t>
            </w:r>
          </w:p>
        </w:tc>
        <w:tc>
          <w:tcPr>
            <w:tcW w:type="dxa" w:w="154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可演示的最小系统与人工确认队列</w:t>
            </w:r>
          </w:p>
        </w:tc>
        <w:tc>
          <w:tcPr>
            <w:tcW w:type="dxa" w:w="14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问答准确率不低于95%；正式发送均有批准</w:t>
            </w:r>
          </w:p>
        </w:tc>
        <w:tc>
          <w:tcPr>
            <w:tcW w:type="dxa" w:w="1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价格库存不能稳定更新</w:t>
            </w:r>
          </w:p>
        </w:tc>
        <w:tc>
          <w:tcPr>
            <w:tcW w:type="dxa" w:w="11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系统、销售与供应链</w:t>
            </w:r>
          </w:p>
        </w:tc>
      </w:tr>
      <w:tr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46-60天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试样与小单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推进3-5个试样或试单；测试谷地配送；记录温控、时效、退货和毛利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真实履约记录、试单复盘、首批内容素材</w:t>
            </w:r>
          </w:p>
        </w:tc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至少3个试样或试单；拒绝原因覆盖率90%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冷链异常、负毛利或投诉无法解决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B2B、履约与售后</w:t>
            </w:r>
          </w:p>
        </w:tc>
      </w:tr>
      <w:tr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61-75天</w:t>
            </w:r>
          </w:p>
        </w:tc>
        <w:tc>
          <w:tcPr>
            <w:tcW w:type="dxa" w:w="11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复购与B2C小范围验证</w:t>
            </w:r>
          </w:p>
        </w:tc>
        <w:tc>
          <w:tcPr>
            <w:tcW w:type="dxa" w:w="1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追踪餐饮复购；家庭端只在可送区域测试；选择1条TikTok站外成交路径</w:t>
            </w:r>
          </w:p>
        </w:tc>
        <w:tc>
          <w:tcPr>
            <w:tcW w:type="dxa" w:w="154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复购提醒、家庭订单、站外转化数据</w:t>
            </w:r>
          </w:p>
        </w:tc>
        <w:tc>
          <w:tcPr>
            <w:tcW w:type="dxa" w:w="14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至少1个可复制场景；数据完整率90%</w:t>
            </w:r>
          </w:p>
        </w:tc>
        <w:tc>
          <w:tcPr>
            <w:tcW w:type="dxa" w:w="1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平台或履约不支持稳定成交</w:t>
            </w:r>
          </w:p>
        </w:tc>
        <w:tc>
          <w:tcPr>
            <w:tcW w:type="dxa" w:w="11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销售、内容与数据</w:t>
            </w:r>
          </w:p>
        </w:tc>
      </w:tr>
      <w:tr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76-90天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决策与扩张判断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按城市、品类、渠道、复购、毛利和风险评估继续、调整或暂停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90天决策报告、下一阶段预算与任务</w:t>
            </w:r>
          </w:p>
        </w:tc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试单单位至少8且复购占试单不低于30%才考虑放大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50个已验证对象、两轮实验后仍少于3个试单；或重大合规/履约问题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项目决策组</w:t>
            </w:r>
          </w:p>
        </w:tc>
      </w:tr>
    </w:tbl>
    <w:p>
      <w:pPr>
        <w:spacing w:after="40"/>
      </w:pPr>
    </w:p>
    <w:p>
      <w:pPr>
        <w:pStyle w:val="Heading1"/>
      </w:pPr>
      <w:r>
        <w:t>周度安排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2232"/>
        <w:gridCol w:w="2232"/>
        <w:gridCol w:w="2088"/>
        <w:gridCol w:w="1728"/>
      </w:tblGrid>
      <w:tr>
        <w:trPr>
          <w:tblHeader w:val="true"/>
        </w:trPr>
        <w:tc>
          <w:tcPr>
            <w:tcW w:type="dxa" w:w="10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周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供应链与合规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市场与销售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内容与系统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决策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W1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进口主体、商品与 P0 清单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复核首城与首批群体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建立真值和来源索引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哪些可以继续研究</w:t>
            </w:r>
          </w:p>
        </w:tc>
      </w:tr>
      <w:tr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W2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海关编码、标签与冷链预审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50 个高优先公开组织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CRM与草稿审批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哪些可以联系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W3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真实商品与样品边界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人工联系 8-12 个组织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三个内容角度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回复与阻力</w:t>
            </w:r>
          </w:p>
        </w:tc>
      </w:tr>
      <w:tr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W4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配送演练准备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累计 15-25 条人工联系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复盘内容到询问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30天继续或调整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W5-W6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价格、库存和订单对接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推进样品与短会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咨询转人工演示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系统是否可靠</w:t>
            </w:r>
          </w:p>
        </w:tc>
      </w:tr>
      <w:tr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W7-W8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谷地真实履约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3-5 个样品或试单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真实商品内容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60天继续或调整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W9-W10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损耗、退货与补货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追踪复购，消费者小测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站外路径与周报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可复制场景</w:t>
            </w:r>
          </w:p>
        </w:tc>
      </w:tr>
      <w:tr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W11-W12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供应上限与扩城条件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补货与回款复盘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阶段分析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继续／调整／暂停</w:t>
            </w:r>
          </w:p>
        </w:tc>
      </w:tr>
    </w:tbl>
    <w:p>
      <w:pPr>
        <w:spacing w:after="40"/>
      </w:pPr>
    </w:p>
    <w:p>
      <w:pPr>
        <w:pStyle w:val="Heading1"/>
      </w:pPr>
      <w:r>
        <w:t>角色分工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2736"/>
        <w:gridCol w:w="2592"/>
        <w:gridCol w:w="2160"/>
      </w:tblGrid>
      <w:tr>
        <w:trPr>
          <w:tblHeader w:val="true"/>
        </w:trPr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7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每日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每周</w:t>
            </w:r>
          </w:p>
        </w:tc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阶段决策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项目负责人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处理高风险批准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主持复盘与阻断清单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决定预算、扩城、扩品和暂停</w:t>
            </w:r>
          </w:p>
        </w:tc>
      </w:tr>
      <w:tr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供应链负责人</w:t>
            </w:r>
          </w:p>
        </w:tc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更新价格、库存与配送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核合规、温控和异常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确认供应能力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B2B负责人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核实、联系和记录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复盘回复、样品和试单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建议群体与商品</w:t>
            </w:r>
          </w:p>
        </w:tc>
      </w:tr>
      <w:tr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内容负责人</w:t>
            </w:r>
          </w:p>
        </w:tc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制作与审校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复盘有效询问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建议渠道与选题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系统与数据负责人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监测同步和错误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出周报与缺失信息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验证决策证据</w:t>
            </w:r>
          </w:p>
        </w:tc>
      </w:tr>
      <w:tr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尼泊尔本地人员</w:t>
            </w:r>
          </w:p>
        </w:tc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语言、现场和关系处理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核平台与履约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复核当地可行性</w:t>
            </w:r>
          </w:p>
        </w:tc>
      </w:tr>
    </w:tbl>
    <w:p>
      <w:pPr>
        <w:spacing w:after="40"/>
      </w:pPr>
    </w:p>
    <w:p>
      <w:pPr>
        <w:pStyle w:val="Heading1"/>
      </w:pPr>
      <w:r>
        <w:t>例会口径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60"/>
        <w:gridCol w:w="5400"/>
      </w:tblGrid>
      <w:tr>
        <w:trPr>
          <w:tblHeader w:val="true"/>
        </w:trPr>
        <w:tc>
          <w:tcPr>
            <w:tcW w:type="dxa" w:w="39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必须回答</w:t>
            </w:r>
          </w:p>
        </w:tc>
        <w:tc>
          <w:tcPr>
            <w:tcW w:type="dxa" w:w="5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证据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本周新增了什么已确认事实？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来源或真实业务记录</w:t>
            </w:r>
          </w:p>
        </w:tc>
      </w:tr>
      <w:tr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哪些事项仍待验证？</w:t>
            </w:r>
          </w:p>
        </w:tc>
        <w:tc>
          <w:tcPr>
            <w:tcW w:type="dxa" w:w="5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责任人和完成日期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哪些组织从哪一状态进入下一状态？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沟通、样品、订单或补货证据</w:t>
            </w:r>
          </w:p>
        </w:tc>
      </w:tr>
      <w:tr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哪些商品出现价格、库存或冷链问题？</w:t>
            </w:r>
          </w:p>
        </w:tc>
        <w:tc>
          <w:tcPr>
            <w:tcW w:type="dxa" w:w="5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真值与异常记录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下周只验证哪三个问题？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明确实验和停止条件</w:t>
            </w:r>
          </w:p>
        </w:tc>
      </w:tr>
    </w:tbl>
    <w:p>
      <w:pPr>
        <w:spacing w:after="40"/>
      </w:pPr>
    </w:p>
    <w:p>
      <w:pPr>
        <w:pStyle w:val="Heading1"/>
      </w:pPr>
      <w:r>
        <w:t>90天交付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 w:val="true"/>
        </w:trPr>
        <w:tc>
          <w:tcPr>
            <w:tcW w:type="dxa" w:w="30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交付</w:t>
            </w:r>
          </w:p>
        </w:tc>
        <w:tc>
          <w:tcPr>
            <w:tcW w:type="dxa" w:w="62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通过标准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可售商品池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真实商品、合规、价格、库存和配送可追溯</w:t>
            </w:r>
          </w:p>
        </w:tc>
      </w:tr>
      <w:tr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高优先组织池</w:t>
            </w:r>
          </w:p>
        </w:tc>
        <w:tc>
          <w:tcPr>
            <w:tcW w:type="dxa" w:w="62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公开来源、联系状态和下一步清楚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试单与补货证据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订单、履约、回款与复购分层</w:t>
            </w:r>
          </w:p>
        </w:tc>
      </w:tr>
      <w:tr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内容与站外路径</w:t>
            </w:r>
          </w:p>
        </w:tc>
        <w:tc>
          <w:tcPr>
            <w:tcW w:type="dxa" w:w="62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不依赖 TikTok Shop 也能完成询问和下单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AI协作系统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缺失时会阻断，高风险动作需要人工批准</w:t>
            </w:r>
          </w:p>
        </w:tc>
      </w:tr>
      <w:tr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阶段决策</w:t>
            </w:r>
          </w:p>
        </w:tc>
        <w:tc>
          <w:tcPr>
            <w:tcW w:type="dxa" w:w="62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有继续、调整或暂停的明确理由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Integrated Tariff 2082-83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2025/26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按最终海关编码复核税率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Regulation 1970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1970, current official repository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包装食品标签、批次、生产与到期日期、语言和误导性陈述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S14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import and export application through Nepal National Single Window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食品进出口申请入口变化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S17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E-Commerce Act 2081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线上经营的本地法律复核入口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S18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个人信息最小化与保护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Monthly Payment Systems Indicators: Asoj 2082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移动银行、电子钱包、二维码和电商支付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S22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 availability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Shop市场清单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S23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regions for self-serve ad account creation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TikTok广告自助开户地区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S24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location targeting options by market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TikTok广告地区定向限制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S27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About Daraz Nepal and payment methods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Daraz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商家入口、支付方式与平台存在性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S28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company and service locations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餐饮与杂货配送城市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酒店名单与采购单位入口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 membership database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酒店和度假村名单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Restaurant and Bar Association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REBAN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餐饮采购单位与地区分会入口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customs.gov.np/content/46/integrated-tariff-rate/" TargetMode="External"/><Relationship Id="rId13" Type="http://schemas.openxmlformats.org/officeDocument/2006/relationships/hyperlink" Target="https://www.dftqc.gov.np/rules/download-%2813%29-1742819788.pdf" TargetMode="External"/><Relationship Id="rId14" Type="http://schemas.openxmlformats.org/officeDocument/2006/relationships/hyperlink" Target="https://www.dftqc.gov.np/en/notice-details/136/32788974" TargetMode="External"/><Relationship Id="rId15" Type="http://schemas.openxmlformats.org/officeDocument/2006/relationships/hyperlink" Target="https://lawcommission.gov.np/content/13517/electricity-trade--e-workers--act--2081/" TargetMode="External"/><Relationship Id="rId16" Type="http://schemas.openxmlformats.org/officeDocument/2006/relationships/hyperlink" Target="https://lawcommission.gov.np/content/12261/12261-the-privacy-act-2075/" TargetMode="External"/><Relationship Id="rId17" Type="http://schemas.openxmlformats.org/officeDocument/2006/relationships/hyperlink" Target="https://www.nrb.org.np/contents/uploads/2025/11/2082_06-PS-Indicator.pdf" TargetMode="External"/><Relationship Id="rId18" Type="http://schemas.openxmlformats.org/officeDocument/2006/relationships/hyperlink" Target="https://ads.tiktok.com/help/article/tiktok-shopping-and-showcase?redirected=1" TargetMode="External"/><Relationship Id="rId19" Type="http://schemas.openxmlformats.org/officeDocument/2006/relationships/hyperlink" Target="https://ads.tiktok.com/help/article/available-countries-and-regions-for-ad-account-creation-in-bc" TargetMode="External"/><Relationship Id="rId20" Type="http://schemas.openxmlformats.org/officeDocument/2006/relationships/hyperlink" Target="https://ads.tiktok.com/help/article/placements-available-locations?lang=en" TargetMode="External"/><Relationship Id="rId21" Type="http://schemas.openxmlformats.org/officeDocument/2006/relationships/hyperlink" Target="https://www.daraz.com.np/about-daraz/" TargetMode="External"/><Relationship Id="rId22" Type="http://schemas.openxmlformats.org/officeDocument/2006/relationships/hyperlink" Target="https://foodmandu.com/Home/About" TargetMode="External"/><Relationship Id="rId23" Type="http://schemas.openxmlformats.org/officeDocument/2006/relationships/hyperlink" Target="https://hotelassociationnepal.org.np/index.php" TargetMode="External"/><Relationship Id="rId24" Type="http://schemas.openxmlformats.org/officeDocument/2006/relationships/hyperlink" Target="https://hotelassociationnepal.org.np/storage/Membership%20database.pdf" TargetMode="External"/><Relationship Id="rId25" Type="http://schemas.openxmlformats.org/officeDocument/2006/relationships/hyperlink" Target="https://rebannepa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15_30_60_90天执行计划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