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风险_停止投入_扩大投入标准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把合规、冷链、平台、价格和自动化风险放到预算之前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风险矩阵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扩大与停止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预算闸门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应急顺序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决策记录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风险矩阵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4"/>
        <w:gridCol w:w="1599"/>
        <w:gridCol w:w="1422"/>
        <w:gridCol w:w="1836"/>
        <w:gridCol w:w="1066"/>
        <w:gridCol w:w="1599"/>
        <w:gridCol w:w="594"/>
      </w:tblGrid>
      <w:tr>
        <w:trPr>
          <w:tblHeader w:val="true"/>
        </w:trPr>
        <w:tc>
          <w:tcPr>
            <w:tcW w:type="dxa" w:w="12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5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触发</w:t>
            </w:r>
          </w:p>
        </w:tc>
        <w:tc>
          <w:tcPr>
            <w:tcW w:type="dxa" w:w="14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后果</w:t>
            </w:r>
          </w:p>
        </w:tc>
        <w:tc>
          <w:tcPr>
            <w:tcW w:type="dxa" w:w="18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预防</w:t>
            </w:r>
          </w:p>
        </w:tc>
        <w:tc>
          <w:tcPr>
            <w:tcW w:type="dxa" w:w="10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责任</w:t>
            </w:r>
          </w:p>
        </w:tc>
        <w:tc>
          <w:tcPr>
            <w:tcW w:type="dxa" w:w="15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应急</w:t>
            </w:r>
          </w:p>
        </w:tc>
        <w:tc>
          <w:tcPr>
            <w:tcW w:type="dxa" w:w="59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等级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冷链能力未确认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计划上架或接单但没有温控、配送半径和时效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解冻、变质、退款与信任受损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首阶段只做冷冻品；先跑谷地真实配送；记录收货温度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立即停售受影响批次并人工召回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进口与食品合规不完整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缺少进口主体、许可、卫生、标签或批次资料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清关、销售或平台上架受阻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P0文件闸门；最终海关编码和税率由当地报关与监管专业人员复核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供应链与本地合规负责人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停止对应商品销售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AI错误承诺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真值过期或系统自行猜测价格、库存、送达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投诉、赔付和关系损害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所有答复只读真值；缺失即转人工；保留日志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系统与销售负责人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撤回错误承诺、人工解释并复盘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TikTok能力误判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把内容、LIVE、Ads和Shop混为一谈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无法投流或无法站内成交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按能力矩阵逐项验证；Shop默认不可用；用站外路径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内容与平台负责人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切回有机内容和自有商城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平台政策变化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社交平台被限制、账号受限或功能调整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流量与沟通中断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多渠道入口、自有网站、电话与Viber/WhatsApp备份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渠道负责人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启用备用渠道并通知已同意联系人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自动开发过度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高频、重复或无差别联系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封号、投诉与声誉损害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公开商务入口、个性化、频率上限、拒绝即停止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停止自动任务并清理队列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虚假内容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使用不存在的包装、检测、反馈、主厨或库存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合规与信任风险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授权素材与证据清单；发布前人工审校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下架、澄清并追溯来源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多语言误解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食品、过敏原、售后或做法翻译错误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食安与纠纷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尼泊尔语由母语者和食品安全人员双审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本地内容与食安负责人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立即更正并主动通知受影响购买者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B2B与B2C价格冲突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零售价促销低于采购单位的可接受边界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渠道抵触与乱价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建立价格层级、活动审批和渠道保护规则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暂停活动并逐一沟通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放量后断货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广告增长快于库存和配送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退款、差评与成本上升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库存安全线、日预算上限、自动暂停建议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供应链与广告负责人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停投、关闭缺货商品并通知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个人信息过度收集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采集非公开个人资料或保存不必要信息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隐私与合规风险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最小化收集、权限分级、停止联系标记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删除不必要数据并审计权限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价格样本失真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页面价格过期、规格不清或缺货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错误定价与市场判断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保留日期、规格和可售状态；每两周复核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市场负责人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降级为待验证并重新采样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</w:tr>
      <w:tr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本地淡水鱼替代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进口鱼柳没有明显价格或便利优势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销量不足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用规格、出成率、即烹和餐饮稳定供货做差异化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产品负责人</w:t>
            </w:r>
          </w:p>
        </w:tc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暂停同质整鱼，聚焦虾、鱿鱼与组合装</w:t>
            </w:r>
          </w:p>
        </w:tc>
        <w:tc>
          <w:tcPr>
            <w:tcW w:type="dxa" w:w="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</w:tr>
      <w:tr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运输路径与成本波动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第三国转运、汇率、燃油或边境异常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到岸成本和交期变化</w:t>
            </w:r>
          </w:p>
        </w:tc>
        <w:tc>
          <w:tcPr>
            <w:tcW w:type="dxa" w:w="18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报价有效期、成本预警、备选运输和安全库存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供应链负责人</w:t>
            </w:r>
          </w:p>
        </w:tc>
        <w:tc>
          <w:tcPr>
            <w:tcW w:type="dxa" w:w="15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暂停长期报价并重算</w:t>
            </w:r>
          </w:p>
        </w:tc>
        <w:tc>
          <w:tcPr>
            <w:tcW w:type="dxa" w:w="5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</w:tr>
    </w:tbl>
    <w:p>
      <w:pPr>
        <w:spacing w:after="40"/>
      </w:pPr>
    </w:p>
    <w:p>
      <w:pPr>
        <w:pStyle w:val="Heading1"/>
      </w:pPr>
      <w:r>
        <w:t>扩大与停止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472"/>
        <w:gridCol w:w="2304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5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触发标准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扩大投入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8个及以上试单单位；复购或补货占试单不低于30%；至少1个可复制场景；没有重大合规、履约或回款事件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扩大同城预算、增加同类商品，不直接扩全国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继续但调整</w:t>
            </w:r>
          </w:p>
        </w:tc>
        <w:tc>
          <w:tcPr>
            <w:tcW w:type="dxa" w:w="5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3-7个试单单位，或复购占比10%-29%；某一品类、采购类型或内容明显优于中位数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再给30天单变量实验，只改一个核心变量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暂停获客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联系50个已验证采购单位、完成两轮话术和组合实验后仍少于3个试单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停止新增名单，复核商品、价格与履约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暂停品类</w:t>
            </w:r>
          </w:p>
        </w:tc>
        <w:tc>
          <w:tcPr>
            <w:tcW w:type="dxa" w:w="5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5个及以上试单后90天仍无复购，或真实毛利为负且无法通过合法方式改善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保留历史记录，停止报价和内容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立即停止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重大食品安全、资质、数据造假、账号违规或持续冷链故障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停止销售与投放，启动人工调查和召回</w:t>
            </w:r>
          </w:p>
        </w:tc>
      </w:tr>
    </w:tbl>
    <w:p>
      <w:pPr>
        <w:spacing w:after="40"/>
      </w:pPr>
    </w:p>
    <w:p>
      <w:pPr>
        <w:pStyle w:val="Heading1"/>
      </w:pPr>
      <w:r>
        <w:t>预算闸门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872"/>
        <w:gridCol w:w="2232"/>
        <w:gridCol w:w="1800"/>
        <w:gridCol w:w="1872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投入类型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计算方式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前提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核心指标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停止线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内容概念测试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每个内容版本成本×版本数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供应方资料不足时只做教育内容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完播、收藏、有效询问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连续6个版本均无有效询问则暂停同一角度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自然流量运营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每周内容制作与人工审校成本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不包含未经确认的付费投流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有效询问、落地页访问、订单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4周无改善则调整账号定位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B2B试样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单份样品成本+包装+配送×试样数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正式寄出需人工批准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试用反馈、试单和复购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试样10份少于2个试单时复盘品类或对象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小预算广告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日预算×测试天数×素材组数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只有后台、地区、转化追踪、库存与履约全部通过后启用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获客成本、成交成本、退款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成交成本超过毛利上限或库存低于安全线立即暂停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扩大投入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验证期有效成交成本×目标订单数×安全系数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不能直接套用其他国家经验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可持续毛利、复购和履约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复购和毛利不达闸门不扩大</w:t>
            </w:r>
          </w:p>
        </w:tc>
      </w:tr>
    </w:tbl>
    <w:p>
      <w:pPr>
        <w:spacing w:after="40"/>
      </w:pPr>
    </w:p>
    <w:p>
      <w:pPr>
        <w:pStyle w:val="Heading1"/>
      </w:pPr>
      <w:r>
        <w:t>应急顺序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立即停止受影响商品、批次、页面或投放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隔离库存与订单，保护食品安全和付款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由人工联系受影响购买方或合作单位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核实原因、范围、责任和证据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按情况退款、召回、补发或停止合作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修复真值、流程和权限后再评估恢复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把事件写入阶段决策，不删除历史</w:t>
            </w:r>
          </w:p>
        </w:tc>
      </w:tr>
    </w:tbl>
    <w:p>
      <w:pPr>
        <w:spacing w:after="40"/>
      </w:pPr>
    </w:p>
    <w:p>
      <w:pPr>
        <w:pStyle w:val="Heading1"/>
      </w:pPr>
      <w:r>
        <w:t>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592"/>
        <w:gridCol w:w="2592"/>
        <w:gridCol w:w="1296"/>
        <w:gridCol w:w="1080"/>
        <w:gridCol w:w="648"/>
      </w:tblGrid>
      <w:tr>
        <w:trPr>
          <w:tblHeader w:val="true"/>
        </w:trPr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决定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复查日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待填写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例如：是否扩大虾类测试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试单、复购、毛利、冷链和投诉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继续／调整／暂停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项目决策组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待填写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待填写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例如：是否进入 Pokhara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谷地补货、当地冷链和名单验证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继续／调整／暂停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项目决策组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待填写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stoms.gov.np/content/46/integrated-tariff-rate/" TargetMode="External"/><Relationship Id="rId12" Type="http://schemas.openxmlformats.org/officeDocument/2006/relationships/hyperlink" Target="https://www.dftqc.gov.np/rules/download-%2813%29-1742819788.pdf" TargetMode="External"/><Relationship Id="rId13" Type="http://schemas.openxmlformats.org/officeDocument/2006/relationships/hyperlink" Target="https://www.dftqc.gov.np/rules/download-%281%29-1742819223.pdf" TargetMode="External"/><Relationship Id="rId14" Type="http://schemas.openxmlformats.org/officeDocument/2006/relationships/hyperlink" Target="https://www.dftqc.gov.np/en/notice-details/136/32788974" TargetMode="External"/><Relationship Id="rId15" Type="http://schemas.openxmlformats.org/officeDocument/2006/relationships/hyperlink" Target="https://lawcommission.gov.np/content/13517/electricity-trade--e-workers--act--2081/" TargetMode="External"/><Relationship Id="rId16" Type="http://schemas.openxmlformats.org/officeDocument/2006/relationships/hyperlink" Target="https://lawcommission.gov.np/content/12261/12261-the-privacy-act-2075/" TargetMode="External"/><Relationship Id="rId17" Type="http://schemas.openxmlformats.org/officeDocument/2006/relationships/hyperlink" Target="https://ads.tiktok.com/help/article/tiktok-shopping-and-showcase?redirected=1" TargetMode="External"/><Relationship Id="rId18" Type="http://schemas.openxmlformats.org/officeDocument/2006/relationships/hyperlink" Target="https://ads.tiktok.com/help/article/available-countries-and-regions-for-ad-account-creation-in-bc" TargetMode="External"/><Relationship Id="rId19" Type="http://schemas.openxmlformats.org/officeDocument/2006/relationships/hyperlink" Target="https://ads.tiktok.com/help/article/placements-available-locations?lang=en" TargetMode="External"/><Relationship Id="rId20" Type="http://schemas.openxmlformats.org/officeDocument/2006/relationships/hyperlink" Target="https://support.tiktok.com/en/live-gifts-wallet/tiktok-live/what-is-tiktok-live" TargetMode="External"/><Relationship Id="rId21" Type="http://schemas.openxmlformats.org/officeDocument/2006/relationships/hyperlink" Target="https://nta.gov.np/content/tiktok-lie-iie-b-e-a" TargetMode="External"/><Relationship Id="rId22" Type="http://schemas.openxmlformats.org/officeDocument/2006/relationships/hyperlink" Target="https://www.daraz.com.np/about-dar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16_风险_停止投入_扩大投入标准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