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后续Codex5.5执行任务包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将研究结论转成可测试、可审计、可回退的系统任务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执行原则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任务总表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依赖顺序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验收方法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测试场景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交接资料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执行原则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真值先行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没有真实价格、库存、配送和合规时，只允许测试数据和阻断演示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API优先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优先官方接口、授权后台、数据导出和 webhook，不以屏幕模拟作为核心链路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草稿优先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联系、报价、发布和退款默认只生成草稿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人工闸门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现实动作必须有明确批准人、时间和记录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最小权限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研究、编辑、批准、发送、退款和管理分开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可回退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价格过期、缺货、平台不可用、支付失败和冷链异常都要安全停止</w:t>
            </w:r>
          </w:p>
        </w:tc>
      </w:tr>
    </w:tbl>
    <w:p>
      <w:pPr>
        <w:spacing w:after="40"/>
      </w:pPr>
    </w:p>
    <w:p>
      <w:pPr>
        <w:pStyle w:val="Heading1"/>
      </w:pPr>
      <w:r>
        <w:t>任务总表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440"/>
        <w:gridCol w:w="2520"/>
        <w:gridCol w:w="1680"/>
        <w:gridCol w:w="2280"/>
        <w:gridCol w:w="900"/>
      </w:tblGrid>
      <w:tr>
        <w:trPr>
          <w:tblHeader w:val="true"/>
        </w:trPr>
        <w:tc>
          <w:tcPr>
            <w:tcW w:type="dxa" w:w="5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目标</w:t>
            </w:r>
          </w:p>
        </w:tc>
        <w:tc>
          <w:tcPr>
            <w:tcW w:type="dxa" w:w="16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对应资料</w:t>
            </w:r>
          </w:p>
        </w:tc>
        <w:tc>
          <w:tcPr>
            <w:tcW w:type="dxa" w:w="22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验收</w:t>
            </w:r>
          </w:p>
        </w:tc>
        <w:tc>
          <w:tcPr>
            <w:tcW w:type="dxa" w:w="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依赖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建立供应链真值中心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定义商品、价格、库存、配送、合规、售后信息的唯一来源与更新频率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14_供应链资料与数据接口清单.docx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能用测试数据演示更新；缺失时明确阻断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P0资料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建立来源索引与变更监测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保存来源、日期、口径、可信度与变化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17_来源与引用索引.docx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每条重点结论可回到原始链接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公开来源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建立公开名单采集器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只用官方接口、授权后台、公开目录与合法导出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06_B2B潜在合作对象数据库.docx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去重、来源可追溯、不采集非公开个人资料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名单规则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T04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建立产品评分与匹配规则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按城市、场景、B2B/B2C、冷链和价格带输出候选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02_尼泊尔全品类海鲜机会手册.docx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每次结果有理由和真值版本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建立外联草稿与人工审批队列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AI只起草，人工批准后才发送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07_B2B_AI获客与跟进SOP.docx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未批准消息无法发送；拒绝后停止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T03,T04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建立CRM状态机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固化待验证、已联系、沟通、试样、订单、复购、暂停与淘汰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13_CRM信息项与销售漏斗设计.docx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每次升级有证据和时间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建立咨询与转人工系统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只读真值回答常见问题，复杂问题进入人工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11_AI销售系统总体架构.docx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误承诺为0；接管记录完整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T01,T06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T08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建立内容生产工作流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趋势、选题、脚本、素材、字幕、审校、发布和复盘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09_TikTok专项运营与AI内容方案.docx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无真实商品时不会生成库存、价格或反馈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T01,T02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建立TikTok站外成交页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内容→落地页→支付/货到付款→订单→供应链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09_TikTok专项运营与AI内容方案.docx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全链路事件可追踪；Shop关闭时仍可用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T01,T07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T10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接入本地支付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评估电子钱包、二维码、卡和货到付款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08_B2C线上销售全渠道方案.docx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本地主体、退款和对账可验证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本地支付协议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接入订单与库存同步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可售库存、锁定、缺货、订单和退款实时同步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14_供应链资料与数据接口清单.docx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不会超卖；异常有回退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供应方系统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T12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建立广告闸门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后台可用、地区定向、库存、配送、素材与预算全部通过后才允许投放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16_风险_停止投入_扩大投入标准.docx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任何一项不通过即阻断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实际广告后台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建立周报与阶段决策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按城市、品类、渠道、成交、复购、履约和毛利输出建议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15_30_60_90天执行计划.docx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输出继续、调整或暂停理由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T06,T11</w:t>
            </w:r>
          </w:p>
        </w:tc>
      </w:tr>
      <w:tr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T14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建立权限与审计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分开读取、编辑、批准、发送与退款权限</w:t>
            </w:r>
          </w:p>
        </w:tc>
        <w:tc>
          <w:tcPr>
            <w:tcW w:type="dxa" w:w="16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12_AI_Agent功能与数据流设计.docx</w:t>
            </w:r>
          </w:p>
        </w:tc>
        <w:tc>
          <w:tcPr>
            <w:tcW w:type="dxa" w:w="22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高风险动作有双重确认和不可删日志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组织账号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T15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建立测试与回退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为价格过期、缺货、平台不可用、支付失败和冷链异常做演练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18_后续Codex5.5执行任务包.docx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每类异常有可执行回退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各系统</w:t>
            </w:r>
          </w:p>
        </w:tc>
      </w:tr>
    </w:tbl>
    <w:p>
      <w:pPr>
        <w:spacing w:after="40"/>
      </w:pPr>
    </w:p>
    <w:p>
      <w:pPr>
        <w:pStyle w:val="Heading1"/>
      </w:pPr>
      <w:r>
        <w:t>依赖顺序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T01 真值中心与 T02 来源索引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T03 公开名单与 T04 产品匹配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T05 审批队列与 T06 CRM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T07 咨询转人工与 T11 订单库存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T08 内容流程与 T09 站外成交页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T10 本地支付与 T12 广告闸门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T13 决策、T14 权限审计与 T15 回退演练</w:t>
            </w:r>
          </w:p>
        </w:tc>
      </w:tr>
    </w:tbl>
    <w:p>
      <w:pPr>
        <w:spacing w:after="40"/>
      </w:pPr>
    </w:p>
    <w:p>
      <w:pPr>
        <w:pStyle w:val="Heading1"/>
      </w:pPr>
      <w:r>
        <w:t>验收方法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84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78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证明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单元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每条规则对正常、缺失、过期和冲突信息都有结果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集成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真值、CRM、订单、支付和配送能按测试流程连通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未授权角色不能报价、发送、投放、退款或修改真值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审计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来源、版本、草稿、批准、发送和结果可回看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业务演练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用合成对象完成候选→草稿→批准→试单→异常→回退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真实小样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只有 P0 资料完成后，才在一个城市和少量商品上运行</w:t>
            </w:r>
          </w:p>
        </w:tc>
      </w:tr>
    </w:tbl>
    <w:p>
      <w:pPr>
        <w:spacing w:after="40"/>
      </w:pPr>
    </w:p>
    <w:p>
      <w:pPr>
        <w:pStyle w:val="Heading1"/>
      </w:pPr>
      <w:r>
        <w:t>测试场景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1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期望结果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价格缺失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不生成正式报价，只列缺失信息</w:t>
            </w:r>
          </w:p>
        </w:tc>
      </w:tr>
      <w:tr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库存为零</w:t>
            </w:r>
          </w:p>
        </w:tc>
        <w:tc>
          <w:tcPr>
            <w:tcW w:type="dxa" w:w="61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关闭购买并提供人工处理，不承诺补货日期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地址超区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不接单，显示当前可送范围</w:t>
            </w:r>
          </w:p>
        </w:tc>
      </w:tr>
      <w:tr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TikTok Shop 不可用</w:t>
            </w:r>
          </w:p>
        </w:tc>
        <w:tc>
          <w:tcPr>
            <w:tcW w:type="dxa" w:w="61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站外页面仍能完成询问、付款与订单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支付失败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订单不出库，保留对账记录</w:t>
            </w:r>
          </w:p>
        </w:tc>
      </w:tr>
      <w:tr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冷链温度异常</w:t>
            </w:r>
          </w:p>
        </w:tc>
        <w:tc>
          <w:tcPr>
            <w:tcW w:type="dxa" w:w="61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隔离同批次并启动人工调查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明确拒绝联系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后续自动任务立即停止</w:t>
            </w:r>
          </w:p>
        </w:tc>
      </w:tr>
      <w:tr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来源冲突</w:t>
            </w:r>
          </w:p>
        </w:tc>
        <w:tc>
          <w:tcPr>
            <w:tcW w:type="dxa" w:w="61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显示冲突并等待人工决定</w:t>
            </w:r>
          </w:p>
        </w:tc>
      </w:tr>
    </w:tbl>
    <w:p>
      <w:pPr>
        <w:spacing w:after="40"/>
      </w:pPr>
    </w:p>
    <w:p>
      <w:pPr>
        <w:pStyle w:val="Heading1"/>
      </w:pPr>
      <w:r>
        <w:t>交接资料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3024"/>
        <w:gridCol w:w="259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供应链 P0 资料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供应方与进口方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待提供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当地合规与报关答复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进口方、报关行、顾问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待提供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真实账号与授权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本地运营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待提供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测试用合成数据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系统团队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可先建立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验收人和决策人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项目负责人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待确认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上线与回退负责人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各业务负责人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ftqc.gov.np/en/notice-details/136/32788974" TargetMode="External"/><Relationship Id="rId12" Type="http://schemas.openxmlformats.org/officeDocument/2006/relationships/hyperlink" Target="https://lawcommission.gov.np/content/13517/electricity-trade--e-workers--act--2081/" TargetMode="External"/><Relationship Id="rId13" Type="http://schemas.openxmlformats.org/officeDocument/2006/relationships/hyperlink" Target="https://lawcommission.gov.np/content/12261/12261-the-privacy-act-2075/" TargetMode="External"/><Relationship Id="rId14" Type="http://schemas.openxmlformats.org/officeDocument/2006/relationships/hyperlink" Target="https://lawcommission.gov.np/content/13397/electronic--electronic--traded-international-act--2063/" TargetMode="External"/><Relationship Id="rId15" Type="http://schemas.openxmlformats.org/officeDocument/2006/relationships/hyperlink" Target="https://www.nrb.org.np/contents/uploads/2025/11/2082_06-PS-Indicator.pdf" TargetMode="External"/><Relationship Id="rId16" Type="http://schemas.openxmlformats.org/officeDocument/2006/relationships/hyperlink" Target="https://www.nrb.org.np/departments/psd/" TargetMode="External"/><Relationship Id="rId17" Type="http://schemas.openxmlformats.org/officeDocument/2006/relationships/hyperlink" Target="https://ads.tiktok.com/help/article/tiktok-shopping-and-showcase?redirected=1" TargetMode="External"/><Relationship Id="rId18" Type="http://schemas.openxmlformats.org/officeDocument/2006/relationships/hyperlink" Target="https://ads.tiktok.com/help/article/available-countries-and-regions-for-ad-account-creation-in-bc" TargetMode="External"/><Relationship Id="rId19" Type="http://schemas.openxmlformats.org/officeDocument/2006/relationships/hyperlink" Target="https://ads.tiktok.com/help/article/placements-available-locations?lang=en" TargetMode="External"/><Relationship Id="rId20" Type="http://schemas.openxmlformats.org/officeDocument/2006/relationships/hyperlink" Target="https://www.daraz.com.np/about-dar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18_后续Codex5.5执行任务包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