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汾酒＋海鲜尼泊尔线上销售</w:t>
        <w:br/>
        <w:t>双方职责与供应链交付总方案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合作方阅读版｜责任、资料、平台、合规、履约、AI协同与上线闸门一体化总册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部分完成：体系已建立，真实资料与外部资格待确认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执行摘要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双方责任边界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当前共同结论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汾酒执行门槛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海鲜执行门槛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资料交付重点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AI协同规则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30/60/90天推进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重大风险与应急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双方待决定事项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来源与下一步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执行摘要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主结论  </w:t>
      </w:r>
      <w:r>
        <w:rPr>
          <w:rFonts w:ascii="Hiragino Sans GB" w:hAnsi="Hiragino Sans GB" w:eastAsia="Hiragino Sans GB"/>
          <w:color w:val="1F2937"/>
          <w:sz w:val="21"/>
        </w:rPr>
        <w:t>本项目已经形成可供双方确认的责任与资料体系，但尚不具备直接宣布正式销售、正式投放或全国放量的条件。优先工作是补齐真实主体、首批商品、许可、价格、库存、配送、售后和平台后台证据，再在加德满都谷地开展受控验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82"/>
        <w:gridCol w:w="2628"/>
        <w:gridCol w:w="2757"/>
        <w:gridCol w:w="2693"/>
      </w:tblGrid>
      <w:tr>
        <w:trPr>
          <w:tblHeader w:val="true"/>
        </w:trPr>
        <w:tc>
          <w:tcPr>
            <w:tcW w:type="dxa" w:w="12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6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当前可做</w:t>
            </w:r>
          </w:p>
        </w:tc>
        <w:tc>
          <w:tcPr>
            <w:tcW w:type="dxa" w:w="275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当前不可做</w:t>
            </w:r>
          </w:p>
        </w:tc>
        <w:tc>
          <w:tcPr>
            <w:tcW w:type="dxa" w:w="26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下一道门槛</w:t>
            </w:r>
          </w:p>
        </w:tc>
      </w:tr>
      <w:tr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责任确认、资料准备、内部内容草拟、后台资格核验</w:t>
            </w:r>
          </w:p>
        </w:tc>
        <w:tc>
          <w:tcPr>
            <w:tcW w:type="dxa" w:w="2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默认开展酒类营销、导流、广告、直播成交或Shop售酒</w:t>
            </w:r>
          </w:p>
        </w:tc>
        <w:tc>
          <w:tcPr>
            <w:tcW w:type="dxa" w:w="26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当地书面意见＋平台实际账号批准＋完整销售链路</w:t>
            </w:r>
          </w:p>
        </w:tc>
      </w:tr>
      <w:tr>
        <w:tc>
          <w:tcPr>
            <w:tcW w:type="dxa" w:w="12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</w:t>
            </w:r>
          </w:p>
        </w:tc>
        <w:tc>
          <w:tcPr>
            <w:tcW w:type="dxa" w:w="26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首批商品筛选、资料收集、B2B名单研究、内部商品页和咨询演练</w:t>
            </w:r>
          </w:p>
        </w:tc>
        <w:tc>
          <w:tcPr>
            <w:tcW w:type="dxa" w:w="275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无真实库存、冷链、许可和售后时公开报价或接单</w:t>
            </w:r>
          </w:p>
        </w:tc>
        <w:tc>
          <w:tcPr>
            <w:tcW w:type="dxa" w:w="26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逐商品合规＋实时价格库存＋冷链与售后演练</w:t>
            </w:r>
          </w:p>
        </w:tc>
      </w:tr>
      <w:tr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AI系统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建立事实源、审批、权限、日志、提醒和模拟测试</w:t>
            </w:r>
          </w:p>
        </w:tc>
        <w:tc>
          <w:tcPr>
            <w:tcW w:type="dxa" w:w="2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自行生成事实、自动承诺、未经批准发布或收款</w:t>
            </w:r>
          </w:p>
        </w:tc>
        <w:tc>
          <w:tcPr>
            <w:tcW w:type="dxa" w:w="26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真实资料接入＋24项测试通过＋人工批准</w:t>
            </w:r>
          </w:p>
        </w:tc>
      </w:tr>
    </w:tbl>
    <w:p>
      <w:pPr>
        <w:spacing w:after="40"/>
      </w:pPr>
    </w:p>
    <w:p>
      <w:pPr>
        <w:pStyle w:val="Heading1"/>
      </w:pPr>
      <w:r>
        <w:t>状态说明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960"/>
        <w:gridCol w:w="3888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8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使用要求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已确认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有官方、平台官方、真实文件或实际记录支持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可作为当前讨论依据；动态事项行动前再核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部分成立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方向有依据，但地区、账号、商品或执行条件未全部核实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只用于受控试点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缺少真实资料、当地书面意见或后台测试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完成验证前不作承诺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推测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根据现有资料形成的工作假设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用小范围测试检验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阻断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缺少P0条件或存在法律、平台、质量、收款、履约风险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不得进入对应动作</w:t>
            </w:r>
          </w:p>
        </w:tc>
      </w:tr>
    </w:tbl>
    <w:p>
      <w:pPr>
        <w:spacing w:after="40"/>
      </w:pPr>
    </w:p>
    <w:p>
      <w:pPr>
        <w:pStyle w:val="Heading1"/>
      </w:pPr>
      <w:r>
        <w:t>双方责任边界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816"/>
        <w:gridCol w:w="3816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主要承担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明确不承担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线上运营团队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市场研究、内容草拟、渠道运营、公开商务线索整理、咨询分流、CRM、数据复盘和AI工作流协调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进口、报关、许可、仓储、冷链、配送、收款、开票、退款资金、召回、质量赔付和当地最终法律责任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产品与履约团队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真实商品、授权、出口与进口资料、价格、库存、仓储、配送、收款、票据、售后、质量和召回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未经审核代替线上运营团队发布、修改运营数据或对外使用未批准内容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双方共同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试点范围、预算、账号归属、资料用途、复购归因、内容权利、批准机制、停线和放量决定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以口头约定替代P0书面确认，或把单方工作记录当作双方正式决定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color w:val="1F2937"/>
          <w:sz w:val="21"/>
        </w:rPr>
        <w:t>完整逐项责任与主责、最终负责、会签、知会、时效和验收标准，分别见02、03号RACI责任矩阵。</w:t>
      </w:r>
    </w:p>
    <w:p>
      <w:pPr>
        <w:pStyle w:val="Heading1"/>
      </w:pPr>
      <w:r>
        <w:t>当前共同结论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1440"/>
        <w:gridCol w:w="3312"/>
      </w:tblGrid>
      <w:tr>
        <w:trPr>
          <w:tblHeader w:val="true"/>
        </w:trPr>
        <w:tc>
          <w:tcPr>
            <w:tcW w:type="dxa" w:w="46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管理方式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先以加德满都谷地为首个受控验证范围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建议采用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双方确认后写入90天试点批准单</w:t>
            </w:r>
          </w:p>
        </w:tc>
      </w:tr>
      <w:tr>
        <w:tc>
          <w:tcPr>
            <w:tcW w:type="dxa" w:w="46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现有研究资料可作为计划依据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动态法律、平台、价格、库存和商品事实行动前再核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汾酒TikTok可以默认投流、挂载或直播成交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不成立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获得当地书面意见和实际平台批准前保持阻断</w:t>
            </w:r>
          </w:p>
        </w:tc>
      </w:tr>
      <w:tr>
        <w:tc>
          <w:tcPr>
            <w:tcW w:type="dxa" w:w="46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海鲜可以在缺少真实SKU和冷链数据时正式报价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不成立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内部研究与草拟可以继续，公开承诺保持阻断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AI可以提高资料检查与响应效率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AI只读已批准事实，价格、质量、退款和酒类咨询转人工</w:t>
            </w:r>
          </w:p>
        </w:tc>
      </w:tr>
      <w:tr>
        <w:tc>
          <w:tcPr>
            <w:tcW w:type="dxa" w:w="46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文档完成即代表业务已经执行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不成立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把资料完成、测试通过、真实试单和放量决定分开记录</w:t>
            </w:r>
          </w:p>
        </w:tc>
      </w:tr>
    </w:tbl>
    <w:p>
      <w:pPr>
        <w:spacing w:after="40"/>
      </w:pPr>
    </w:p>
    <w:p>
      <w:pPr>
        <w:pStyle w:val="Heading1"/>
      </w:pPr>
      <w:r>
        <w:t>汾酒执行门槛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80"/>
        <w:gridCol w:w="288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能力层</w:t>
            </w:r>
          </w:p>
        </w:tc>
        <w:tc>
          <w:tcPr>
            <w:tcW w:type="dxa" w:w="46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至少需要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未通过时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普通教育内容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真实品牌和商品事实、素材权、商业披露、当地传播边界审核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只保留内部草稿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受管制行业企业能力</w:t>
            </w:r>
          </w:p>
        </w:tc>
        <w:tc>
          <w:tcPr>
            <w:tcW w:type="dxa" w:w="4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合法主体、品牌授权、酒类许可、TikTok后台批准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普通账号不得默认开展营销或导流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当地书面意见、可开户地区与行业批准、年龄定向、落地页和预算批准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不得投流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LIVE</w:t>
            </w:r>
          </w:p>
        </w:tc>
        <w:tc>
          <w:tcPr>
            <w:tcW w:type="dxa" w:w="4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内容、年龄、商业披露、受管制商品与导流边界均通过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不得直播推广或成交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外链或联系入口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平台规则允许、当地销售路径合法、入口与披露经过批准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不得以链接、联系方式或暗示绕过限制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Shop与站内支付</w:t>
            </w:r>
          </w:p>
        </w:tc>
        <w:tc>
          <w:tcPr>
            <w:tcW w:type="dxa" w:w="4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尼泊尔市场和酒类类目实际可用、主体和履约资格通过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不得承诺站内售酒</w:t>
            </w:r>
          </w:p>
        </w:tc>
      </w:tr>
    </w:tbl>
    <w:p>
      <w:pPr>
        <w:spacing w:after="40"/>
      </w:pP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保守处理  </w:t>
      </w:r>
      <w:r>
        <w:rPr>
          <w:rFonts w:ascii="Hiragino Sans GB" w:hAnsi="Hiragino Sans GB" w:eastAsia="Hiragino Sans GB"/>
          <w:color w:val="1F2937"/>
          <w:sz w:val="21"/>
        </w:rPr>
        <w:t>TikTok当前公开规则把酒类及其营销、交易和导流列入受管制范围，并只在部分地区、部分已验证主体中设有限例外；公开Shop市场清单也未列出尼泊尔。因此本方案以实际账号回执为准，不把公开内容能力外推为售酒能力。</w:t>
      </w:r>
    </w:p>
    <w:p>
      <w:pPr>
        <w:pStyle w:val="Heading1"/>
      </w:pPr>
      <w:r>
        <w:t>海鲜执行门槛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12"/>
        <w:gridCol w:w="2896"/>
        <w:gridCol w:w="3434"/>
        <w:gridCol w:w="1818"/>
      </w:tblGrid>
      <w:tr>
        <w:trPr>
          <w:tblHeader w:val="true"/>
        </w:trPr>
        <w:tc>
          <w:tcPr>
            <w:tcW w:type="dxa" w:w="12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路线</w:t>
            </w:r>
          </w:p>
        </w:tc>
        <w:tc>
          <w:tcPr>
            <w:tcW w:type="dxa" w:w="28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核心动作</w:t>
            </w:r>
          </w:p>
        </w:tc>
        <w:tc>
          <w:tcPr>
            <w:tcW w:type="dxa" w:w="34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必须具备</w:t>
            </w:r>
          </w:p>
        </w:tc>
        <w:tc>
          <w:tcPr>
            <w:tcW w:type="dxa" w:w="181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停止条件</w:t>
            </w:r>
          </w:p>
        </w:tc>
      </w:tr>
      <w:tr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B2B</w:t>
            </w:r>
          </w:p>
        </w:tc>
        <w:tc>
          <w:tcPr>
            <w:tcW w:type="dxa" w:w="2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公开单位研究、人工批准联系、试样、阶梯报价、订单与复购</w:t>
            </w:r>
          </w:p>
        </w:tc>
        <w:tc>
          <w:tcPr>
            <w:tcW w:type="dxa" w:w="3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真实商品、阶梯价、样品规则、进口路径、库存、冷链、账期与售后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价格过期、库存不明、冷链或许可异常</w:t>
            </w:r>
          </w:p>
        </w:tc>
      </w:tr>
      <w:tr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B2C</w:t>
            </w:r>
          </w:p>
        </w:tc>
        <w:tc>
          <w:tcPr>
            <w:tcW w:type="dxa" w:w="28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内容、咨询、商品页、小范围投流、订单、配送与复购</w:t>
            </w:r>
          </w:p>
        </w:tc>
        <w:tc>
          <w:tcPr>
            <w:tcW w:type="dxa" w:w="34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逐商品准入、B2C价、实时库存、配送范围、收款、退款与质量处理</w:t>
            </w:r>
          </w:p>
        </w:tc>
        <w:tc>
          <w:tcPr>
            <w:tcW w:type="dxa" w:w="18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超卖、超区、支付失败、冷链或质量异常</w:t>
            </w:r>
          </w:p>
        </w:tc>
      </w:tr>
      <w:tr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共同底座</w:t>
            </w:r>
          </w:p>
        </w:tc>
        <w:tc>
          <w:tcPr>
            <w:tcW w:type="dxa" w:w="2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商品编号、批次、文件关联、事实库、权限、日志和召回</w:t>
            </w:r>
          </w:p>
        </w:tc>
        <w:tc>
          <w:tcPr>
            <w:tcW w:type="dxa" w:w="3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一个实物版本一个编号，价格与库存有时间戳，批次可追溯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资料冲突、过期、无法匹配或越权</w:t>
            </w:r>
          </w:p>
        </w:tc>
      </w:tr>
    </w:tbl>
    <w:p>
      <w:pPr>
        <w:spacing w:after="40"/>
      </w:pPr>
    </w:p>
    <w:p>
      <w:pPr>
        <w:pStyle w:val="Heading1"/>
      </w:pPr>
      <w:r>
        <w:t>资料交付重点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8"/>
        <w:gridCol w:w="3758"/>
        <w:gridCol w:w="2255"/>
        <w:gridCol w:w="2049"/>
      </w:tblGrid>
      <w:tr>
        <w:trPr>
          <w:tblHeader w:val="true"/>
        </w:trPr>
        <w:tc>
          <w:tcPr>
            <w:tcW w:type="dxa" w:w="12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75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必须先交付</w:t>
            </w:r>
          </w:p>
        </w:tc>
        <w:tc>
          <w:tcPr>
            <w:tcW w:type="dxa" w:w="22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20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被阻断动作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P0-主体</w:t>
            </w:r>
          </w:p>
        </w:tc>
        <w:tc>
          <w:tcPr>
            <w:tcW w:type="dxa" w:w="3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品牌授权、进口主体、销售与收款主体、税务与许可</w:t>
            </w:r>
          </w:p>
        </w:tc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有效文件＋审核记录</w:t>
            </w:r>
          </w:p>
        </w:tc>
        <w:tc>
          <w:tcPr>
            <w:tcW w:type="dxa" w:w="2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公开推广、进口、收款、销售</w:t>
            </w:r>
          </w:p>
        </w:tc>
      </w:tr>
      <w:tr>
        <w:tc>
          <w:tcPr>
            <w:tcW w:type="dxa" w:w="12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P0-商品</w:t>
            </w:r>
          </w:p>
        </w:tc>
        <w:tc>
          <w:tcPr>
            <w:tcW w:type="dxa" w:w="3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逐商品身份、规格、标签、检测、海关编码、批次和储存要求</w:t>
            </w:r>
          </w:p>
        </w:tc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实物与文件一致</w:t>
            </w:r>
          </w:p>
        </w:tc>
        <w:tc>
          <w:tcPr>
            <w:tcW w:type="dxa" w:w="2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上架、报价、AI答复、履约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P0-交易</w:t>
            </w:r>
          </w:p>
        </w:tc>
        <w:tc>
          <w:tcPr>
            <w:tcW w:type="dxa" w:w="3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批准价格、实时库存、配送、收款、票据、退款和质量责任</w:t>
            </w:r>
          </w:p>
        </w:tc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批准版本＋演练记录</w:t>
            </w:r>
          </w:p>
        </w:tc>
        <w:tc>
          <w:tcPr>
            <w:tcW w:type="dxa" w:w="2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报价、接单、出库和售后</w:t>
            </w:r>
          </w:p>
        </w:tc>
      </w:tr>
      <w:tr>
        <w:tc>
          <w:tcPr>
            <w:tcW w:type="dxa" w:w="12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P0-平台</w:t>
            </w:r>
          </w:p>
        </w:tc>
        <w:tc>
          <w:tcPr>
            <w:tcW w:type="dxa" w:w="37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账号归属、行业资格、广告、LIVE、外链和Shop后台结果</w:t>
            </w:r>
          </w:p>
        </w:tc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后台回执或工单</w:t>
            </w:r>
          </w:p>
        </w:tc>
        <w:tc>
          <w:tcPr>
            <w:tcW w:type="dxa" w:w="2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对应平台动作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P1-增长</w:t>
            </w:r>
          </w:p>
        </w:tc>
        <w:tc>
          <w:tcPr>
            <w:tcW w:type="dxa" w:w="37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内容计划、达人、联盟、广告测试、复购和归因规则</w:t>
            </w:r>
          </w:p>
        </w:tc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双方批准单</w:t>
            </w:r>
          </w:p>
        </w:tc>
        <w:tc>
          <w:tcPr>
            <w:tcW w:type="dxa" w:w="2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放量与长期结算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color w:val="1F2937"/>
          <w:sz w:val="21"/>
        </w:rPr>
        <w:t>完整交付信息项、提交方、审核方、格式、频率、有效期、渠道、AI读取规则、缺失影响、SLA和备用负责人，见04、05、06号清单。</w:t>
      </w:r>
    </w:p>
    <w:p>
      <w:pPr>
        <w:pStyle w:val="Heading1"/>
      </w:pPr>
      <w:r>
        <w:t>AI协同规则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4320"/>
        <w:gridCol w:w="3600"/>
      </w:tblGrid>
      <w:tr>
        <w:trPr>
          <w:tblHeader w:val="true"/>
        </w:trPr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系统可做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必须人工决定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登记、编号、格式检查、商品匹配、到期提醒、版本归档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真实性、法律适用性和最终批准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依据事实库生成草稿并检查冲突、禁用表述和素材版本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品牌、法律、平台与发布批准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咨询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回答已批准的一般问题并记录来源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价格例外、酒类销售、质量、过敏、退款和重大投诉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交易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同步状态、发现冲突、提醒和形成审核单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报价、收款、退款、召回、赔付和放量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治理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权限限制、操作日志、数据导出和回退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账号归属、资料用途、保留期限与终止安排</w:t>
            </w:r>
          </w:p>
        </w:tc>
      </w:tr>
    </w:tbl>
    <w:p>
      <w:pPr>
        <w:spacing w:after="40"/>
      </w:pPr>
    </w:p>
    <w:p>
      <w:pPr>
        <w:pStyle w:val="Heading1"/>
      </w:pPr>
      <w:r>
        <w:t>30/60/90天推进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47"/>
        <w:gridCol w:w="2087"/>
        <w:gridCol w:w="3771"/>
        <w:gridCol w:w="2155"/>
      </w:tblGrid>
      <w:tr>
        <w:trPr>
          <w:tblHeader w:val="true"/>
        </w:trPr>
        <w:tc>
          <w:tcPr>
            <w:tcW w:type="dxa" w:w="13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08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7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关键交付</w:t>
            </w:r>
          </w:p>
        </w:tc>
        <w:tc>
          <w:tcPr>
            <w:tcW w:type="dxa" w:w="21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通过条件</w:t>
            </w:r>
          </w:p>
        </w:tc>
      </w:tr>
      <w:t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0—30天</w:t>
            </w:r>
          </w:p>
        </w:tc>
        <w:tc>
          <w:tcPr>
            <w:tcW w:type="dxa" w:w="2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证据与责任闭环</w:t>
            </w:r>
          </w:p>
        </w:tc>
        <w:tc>
          <w:tcPr>
            <w:tcW w:type="dxa" w:w="3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主体、首批商品、RACI、平台测试、当地意见、事实源、内部内容与24项测试准备</w:t>
            </w:r>
          </w:p>
        </w:tc>
        <w:tc>
          <w:tcPr>
            <w:tcW w:type="dxa" w:w="2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所有P0缺口有负责人、时限和阻断</w:t>
            </w:r>
          </w:p>
        </w:tc>
      </w:tr>
      <w:tr>
        <w:tc>
          <w:tcPr>
            <w:tcW w:type="dxa" w:w="13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31—60天</w:t>
            </w:r>
          </w:p>
        </w:tc>
        <w:tc>
          <w:tcPr>
            <w:tcW w:type="dxa" w:w="20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受控真实小样</w:t>
            </w:r>
          </w:p>
        </w:tc>
        <w:tc>
          <w:tcPr>
            <w:tcW w:type="dxa" w:w="3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少量商品、一个城市、B2B试样或合规B2C试单、履约与售后全程留痕</w:t>
            </w:r>
          </w:p>
        </w:tc>
        <w:tc>
          <w:tcPr>
            <w:tcW w:type="dxa" w:w="2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无重大合规、质量、支付和履约事故</w:t>
            </w:r>
          </w:p>
        </w:tc>
      </w:tr>
      <w:t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61—90天</w:t>
            </w:r>
          </w:p>
        </w:tc>
        <w:tc>
          <w:tcPr>
            <w:tcW w:type="dxa" w:w="2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复购与阶段决策</w:t>
            </w:r>
          </w:p>
        </w:tc>
        <w:tc>
          <w:tcPr>
            <w:tcW w:type="dxa" w:w="3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补货、毛利、复购、投诉、配送和内容效果复盘</w:t>
            </w:r>
          </w:p>
        </w:tc>
        <w:tc>
          <w:tcPr>
            <w:tcW w:type="dxa" w:w="2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双方书面决定扩大、调整或停止</w:t>
            </w:r>
          </w:p>
        </w:tc>
      </w:tr>
    </w:tbl>
    <w:p>
      <w:pPr>
        <w:spacing w:after="40"/>
      </w:pPr>
    </w:p>
    <w:p>
      <w:pPr>
        <w:pStyle w:val="Heading1"/>
      </w:pPr>
      <w:r>
        <w:t>重大风险与应急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2"/>
        <w:gridCol w:w="3247"/>
        <w:gridCol w:w="1847"/>
        <w:gridCol w:w="1974"/>
      </w:tblGrid>
      <w:tr>
        <w:trPr>
          <w:tblHeader w:val="true"/>
        </w:trPr>
        <w:tc>
          <w:tcPr>
            <w:tcW w:type="dxa" w:w="22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2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立即动作</w:t>
            </w:r>
          </w:p>
        </w:tc>
        <w:tc>
          <w:tcPr>
            <w:tcW w:type="dxa" w:w="18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最终负责</w:t>
            </w:r>
          </w:p>
        </w:tc>
        <w:tc>
          <w:tcPr>
            <w:tcW w:type="dxa" w:w="197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恢复条件</w:t>
            </w:r>
          </w:p>
        </w:tc>
      </w:tr>
      <w:tr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许可、授权或平台资格失效</w:t>
            </w:r>
          </w:p>
        </w:tc>
        <w:tc>
          <w:tcPr>
            <w:tcW w:type="dxa" w:w="3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停发、停投、下架、停止收款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当地销售主体/账号主体</w:t>
            </w:r>
          </w:p>
        </w:tc>
        <w:tc>
          <w:tcPr>
            <w:tcW w:type="dxa" w:w="1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新证据审核通过</w:t>
            </w:r>
          </w:p>
        </w:tc>
      </w:tr>
      <w:tr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价格或库存错误</w:t>
            </w:r>
          </w:p>
        </w:tc>
        <w:tc>
          <w:tcPr>
            <w:tcW w:type="dxa" w:w="32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停止报价与接单，锁定受影响订单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销售主体/仓库</w:t>
            </w:r>
          </w:p>
        </w:tc>
        <w:tc>
          <w:tcPr>
            <w:tcW w:type="dxa" w:w="197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修正并完成影响排查</w:t>
            </w:r>
          </w:p>
        </w:tc>
      </w:tr>
      <w:tr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冷链、食品安全或批次异常</w:t>
            </w:r>
          </w:p>
        </w:tc>
        <w:tc>
          <w:tcPr>
            <w:tcW w:type="dxa" w:w="3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隔离、停售、停止配送，必要时召回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进口主体/质量负责人</w:t>
            </w:r>
          </w:p>
        </w:tc>
        <w:tc>
          <w:tcPr>
            <w:tcW w:type="dxa" w:w="1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调查、处置和复核通过</w:t>
            </w:r>
          </w:p>
        </w:tc>
      </w:tr>
      <w:tr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酒类年龄或导流问题</w:t>
            </w:r>
          </w:p>
        </w:tc>
        <w:tc>
          <w:tcPr>
            <w:tcW w:type="dxa" w:w="32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拒绝交易、停止相关内容并保留记录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当地销售主体</w:t>
            </w:r>
          </w:p>
        </w:tc>
        <w:tc>
          <w:tcPr>
            <w:tcW w:type="dxa" w:w="197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规则与流程重新通过</w:t>
            </w:r>
          </w:p>
        </w:tc>
      </w:tr>
      <w:tr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账号限制或数据异常</w:t>
            </w:r>
          </w:p>
        </w:tc>
        <w:tc>
          <w:tcPr>
            <w:tcW w:type="dxa" w:w="3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停止新增动作、保护权限和导出记录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账号主体/系统负责人</w:t>
            </w:r>
          </w:p>
        </w:tc>
        <w:tc>
          <w:tcPr>
            <w:tcW w:type="dxa" w:w="1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申诉或修复完成并复测</w:t>
            </w:r>
          </w:p>
        </w:tc>
      </w:tr>
    </w:tbl>
    <w:p>
      <w:pPr>
        <w:spacing w:after="40"/>
      </w:pPr>
    </w:p>
    <w:p>
      <w:pPr>
        <w:pStyle w:val="Heading1"/>
      </w:pPr>
      <w:r>
        <w:t>双方待决定事项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408"/>
        <w:gridCol w:w="1152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64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必须形成的书面决定</w:t>
            </w:r>
          </w:p>
        </w:tc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主体与许可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进口、销售、收款、税务、票据与质量责任主体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</w:t>
            </w:r>
          </w:p>
        </w:tc>
        <w:tc>
          <w:tcPr>
            <w:tcW w:type="dxa" w:w="6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汾酒与海鲜首批商品、批次、数量和试点城市</w:t>
            </w:r>
          </w:p>
        </w:tc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账号与资料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账号、Business Center、CRM、域名、资料使用与移交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费用</w:t>
            </w:r>
          </w:p>
        </w:tc>
        <w:tc>
          <w:tcPr>
            <w:tcW w:type="dxa" w:w="6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广告、达人、软件、样品、配送和超支批准</w:t>
            </w:r>
          </w:p>
        </w:tc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收益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复购与再次采购归因期限、计算和结算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知识成果</w:t>
            </w:r>
          </w:p>
        </w:tc>
        <w:tc>
          <w:tcPr>
            <w:tcW w:type="dxa" w:w="6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内容、素材、数据、AI工作流的使用、导出与终止安排</w:t>
            </w:r>
          </w:p>
        </w:tc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t>总方案确认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88"/>
        <w:gridCol w:w="1728"/>
        <w:gridCol w:w="2088"/>
        <w:gridCol w:w="1512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来源与适用范围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4"/>
        <w:gridCol w:w="2114"/>
        <w:gridCol w:w="1510"/>
        <w:gridCol w:w="1268"/>
        <w:gridCol w:w="1993"/>
        <w:gridCol w:w="845"/>
        <w:gridCol w:w="966"/>
      </w:tblGrid>
      <w:tr>
        <w:trPr>
          <w:tblHeader w:val="true"/>
        </w:trPr>
        <w:tc>
          <w:tcPr>
            <w:tcW w:type="dxa" w:w="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15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2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19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8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96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Community Guidelines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普通内容、商业披露、受管制商品、外链、直播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Regulated Goods, Services, and Commercial Activities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酒类交易、营销、导流与有限例外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 Advertising Policy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2025-09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酒类广告通用要求、禁止内容和许可要求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T04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Alcohol: Market-specific Requirements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酒类广告市场差异；尼泊尔公开适用状态仍需平台确认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部分成立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Countries and Regions for Self-serve Ad Account Creation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2025-11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自助广告账户开通地区；公开清单未列尼泊尔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Shop 可用市场；公开清单未列尼泊尔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T07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Promoting a Brand, Product, or Service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Support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商业内容披露、品牌合作标记、发布与直播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T08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Accounts and Features: TikTok LIVE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生效 2025-09-13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直播年龄、商业披露和责任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N01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Public Health Service Act, 2075, Section 45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酒类广告材料制作、分发与传播限制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N02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Act, 2031 (1974)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酒类销售与分销许可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N03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Rules, 2033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许可展示、销售时段、未满18岁禁售、票据与完税标识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N04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Excise Duty Act, 2058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酒类进口、储存、运输、批发与零售的消费税许可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N05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Excise Licence FAQ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酒类进口、销售、运输、储存前办理许可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N06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当前财年入口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逐商品海关编码与当期税费复核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N07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Lottery Act, 2025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抽奖或彩票式活动的许可复核入口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F01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现行官方资料库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包装食品标签、批号、生产日期、有效期与净重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F02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食品进口申请入口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F03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 2082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食品进口许可与监管入口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F04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EXIM Code Portal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进口主体海关注册与续期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F05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线上经营与电子商务本地复核入口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F06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个人资料收集同意、最少化和保护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ktok.com/community-guidelines/en" TargetMode="External"/><Relationship Id="rId12" Type="http://schemas.openxmlformats.org/officeDocument/2006/relationships/hyperlink" Target="https://www.tiktok.com/community-guidelines/en/regulated-commercial-activities" TargetMode="External"/><Relationship Id="rId13" Type="http://schemas.openxmlformats.org/officeDocument/2006/relationships/hyperlink" Target="https://ads.tiktok.com/help/article/tiktok-ads-policy-alcohol" TargetMode="External"/><Relationship Id="rId14" Type="http://schemas.openxmlformats.org/officeDocument/2006/relationships/hyperlink" Target="https://ads.tiktok.com/help/article/alcohol-market-specific-requirements" TargetMode="External"/><Relationship Id="rId15" Type="http://schemas.openxmlformats.org/officeDocument/2006/relationships/hyperlink" Target="https://ads.tiktok.com/help/article/available-countries-and-regions-for-ad-account-creation-in-bc" TargetMode="External"/><Relationship Id="rId16" Type="http://schemas.openxmlformats.org/officeDocument/2006/relationships/hyperlink" Target="https://ads.tiktok.com/help/article/tiktok-shopping-and-showcase" TargetMode="External"/><Relationship Id="rId17" Type="http://schemas.openxmlformats.org/officeDocument/2006/relationships/hyperlink" Target="https://support.tiktok.com/en/business-and-creator/creator-and-business-accounts/promoting-a-brand-product-or-service" TargetMode="External"/><Relationship Id="rId18" Type="http://schemas.openxmlformats.org/officeDocument/2006/relationships/hyperlink" Target="https://www.tiktok.com/community-guidelines/en/accounts-features" TargetMode="External"/><Relationship Id="rId19" Type="http://schemas.openxmlformats.org/officeDocument/2006/relationships/hyperlink" Target="https://repository.lawcommission.gov.np/np/category/documents/prevailing-law/statutes-acts/%E0%A4%9C%E0%A4%A8%E0%A4%B8%E0%A5%8D%E0%A4%B5%E0%A4%BE%E0%A4%B8%E0%A5%8D%E0%A4%A5%E0%A5%8D%E0%A4%AF-%E0%A4%B8%E0%A5%87%E0%A4%B5%E0%A4%BE-%E0%A4%90%E0%A4%A8-%E0%A5%A8%E0%A5%A6%E0%A5%AD%E0%A5%AB/" TargetMode="External"/><Relationship Id="rId20" Type="http://schemas.openxmlformats.org/officeDocument/2006/relationships/hyperlink" Target="https://ird.gov.np/public/pdf/325298436.pdf" TargetMode="External"/><Relationship Id="rId21" Type="http://schemas.openxmlformats.org/officeDocument/2006/relationships/hyperlink" Target="https://repository.lawcommission.gov.np/np/category/documents/prevailing-law/rules-and-regulations/%E0%A4%AE%E0%A4%A6%E0%A4%BF%E0%A4%B0%E0%A4%BE-%E0%A4%A8%E0%A4%BF%E0%A4%AF%E0%A4%AE%E0%A4%B9%E0%A4%B0%E0%A5%82-%E0%A5%A8%E0%A5%A6%E0%A5%A9%E0%A5%A9/" TargetMode="External"/><Relationship Id="rId22" Type="http://schemas.openxmlformats.org/officeDocument/2006/relationships/hyperlink" Target="https://ird.gov.np/public/pdf/513089464.pdf" TargetMode="External"/><Relationship Id="rId23" Type="http://schemas.openxmlformats.org/officeDocument/2006/relationships/hyperlink" Target="https://www.ird.gov.np/public/faq?gid=96" TargetMode="External"/><Relationship Id="rId24" Type="http://schemas.openxmlformats.org/officeDocument/2006/relationships/hyperlink" Target="https://customs.gov.np/content/46/integrated-tariff-rate/" TargetMode="External"/><Relationship Id="rId25" Type="http://schemas.openxmlformats.org/officeDocument/2006/relationships/hyperlink" Target="https://lawcommission.gov.np/content/12243/12243-lottery-act-2025/" TargetMode="External"/><Relationship Id="rId26" Type="http://schemas.openxmlformats.org/officeDocument/2006/relationships/hyperlink" Target="https://www.dftqc.gov.np/rules/download-%2813%29-1742819788.pdf" TargetMode="External"/><Relationship Id="rId27" Type="http://schemas.openxmlformats.org/officeDocument/2006/relationships/hyperlink" Target="https://www.dftqc.gov.np/en/notice-details/136/32788974" TargetMode="External"/><Relationship Id="rId28" Type="http://schemas.openxmlformats.org/officeDocument/2006/relationships/hyperlink" Target="https://www.dftqc.gov.np/downloadfiles/DFTQC-Annual-Bulletin-Eng-2082-Book-for-WEB-%281%29-1779272721.pdf" TargetMode="External"/><Relationship Id="rId29" Type="http://schemas.openxmlformats.org/officeDocument/2006/relationships/hyperlink" Target="https://exim.customs.gov.np/" TargetMode="External"/><Relationship Id="rId30" Type="http://schemas.openxmlformats.org/officeDocument/2006/relationships/hyperlink" Target="https://lawcommission.gov.np/content/13517/electricity-trade--e-workers--act--2081/" TargetMode="External"/><Relationship Id="rId31" Type="http://schemas.openxmlformats.org/officeDocument/2006/relationships/hyperlink" Target="https://lawcommission.gov.np/content/12261/12261-the-privacy-act-20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汾酒海鲜尼泊尔线上销售_双方职责与供应链交付总方案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