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40"/>
      </w:pPr>
      <w:r>
        <w:rPr>
          <w:rFonts w:ascii="Hiragino Sans GB" w:hAnsi="Hiragino Sans GB" w:eastAsia="Hiragino Sans GB"/>
          <w:b/>
          <w:color w:val="1F4D78"/>
          <w:sz w:val="52"/>
        </w:rPr>
        <w:t>项目总览与使用说明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双方分工、资料交付、上线准入、AI读取和异常处理的统一入口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本套资料解决什么问题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当前结论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文件使用顺序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P0与P1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项目角色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执行原则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待确认与下一步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本套资料解决什么问题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核心结论  </w:t>
      </w:r>
      <w:r>
        <w:rPr>
          <w:rFonts w:ascii="Hiragino Sans GB" w:hAnsi="Hiragino Sans GB" w:eastAsia="Hiragino Sans GB"/>
          <w:color w:val="1F2937"/>
          <w:sz w:val="21"/>
        </w:rPr>
        <w:t>这不是一份普通清单，而是一套“谁提供、谁复核、何时更新、缺什么就停在哪里”的合作执行体系。它把汾酒与海鲜的内容、报价、上架、投流、成交和放量条件分别说明。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</w:trPr>
        <w:tc>
          <w:tcPr>
            <w:tcW w:type="dxa" w:w="29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4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本套资料的处理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责任说不清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汾酒与海鲜分别建立RACI，每个动作只有一个最终负责人</w:t>
            </w:r>
          </w:p>
        </w:tc>
      </w:tr>
      <w:tr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资料来了但不能用</w:t>
            </w:r>
          </w:p>
        </w:tc>
        <w:tc>
          <w:tcPr>
            <w:tcW w:type="dxa" w:w="6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每项资料写明格式、适用商品、验收、有效期和缺失影响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内容和销售混在一起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区分内部内容、教育内容、询问、报价、上架、投流、成交和放量</w:t>
            </w:r>
          </w:p>
        </w:tc>
      </w:tr>
      <w:tr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AI根据聊天猜信息</w:t>
            </w:r>
          </w:p>
        </w:tc>
        <w:tc>
          <w:tcPr>
            <w:tcW w:type="dxa" w:w="6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AI只读通过审核的事实源；缺失、过期或冲突时转人工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供应变化来不及同步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价格、库存、配送、许可和召回分级设置SLA</w:t>
            </w:r>
          </w:p>
        </w:tc>
      </w:tr>
      <w:tr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账号与复购归属争议</w:t>
            </w:r>
          </w:p>
        </w:tc>
        <w:tc>
          <w:tcPr>
            <w:tcW w:type="dxa" w:w="64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提供选项、风险和推荐默认方案，保留双方签字决定</w:t>
            </w:r>
          </w:p>
        </w:tc>
      </w:tr>
    </w:tbl>
    <w:p>
      <w:pPr>
        <w:spacing w:after="40"/>
      </w:pPr>
    </w:p>
    <w:p>
      <w:pPr>
        <w:pStyle w:val="Heading1"/>
      </w:pPr>
      <w:r>
        <w:t>当前结论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1728"/>
        <w:gridCol w:w="4968"/>
      </w:tblGrid>
      <w:tr>
        <w:trPr>
          <w:tblHeader w:val="true"/>
        </w:trPr>
        <w:tc>
          <w:tcPr>
            <w:tcW w:type="dxa" w:w="2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49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责任与资料体系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已完成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本套DOCX已提供可填写、可签字、可复核的版本</w:t>
            </w:r>
          </w:p>
        </w:tc>
      </w:tr>
      <w:tr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汾酒真实商品与本地主体资料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  <w:tc>
          <w:tcPr>
            <w:tcW w:type="dxa" w:w="4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未补齐前不能正式销售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海鲜真实SKU、价格、库存与冷链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未补齐前只做候选和资料准备</w:t>
            </w:r>
          </w:p>
        </w:tc>
      </w:tr>
      <w:tr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TikTok酒类普通营销、导流与广告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阻断</w:t>
            </w:r>
          </w:p>
        </w:tc>
        <w:tc>
          <w:tcPr>
            <w:tcW w:type="dxa" w:w="4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官方规则仅允许有限地区和合资格企业例外；尼泊尔需当地书面意见与平台后台确认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 Shop尼泊尔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阻断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官方市场清单未列尼泊尔，不能默认站内上架、支付或联盟成交</w:t>
            </w:r>
          </w:p>
        </w:tc>
      </w:tr>
      <w:tr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海鲜B2B/B2C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部分成立</w:t>
            </w:r>
          </w:p>
        </w:tc>
        <w:tc>
          <w:tcPr>
            <w:tcW w:type="dxa" w:w="4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公开研究和流程已完成；真实商品与履约条件通过后才能上线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AI系统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设计完成，连接待做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数据项、同步、权限和回退规则已定义；尚未接入真实系统</w:t>
            </w:r>
          </w:p>
        </w:tc>
      </w:tr>
    </w:tbl>
    <w:p>
      <w:pPr>
        <w:spacing w:after="40"/>
      </w:pPr>
    </w:p>
    <w:p>
      <w:pPr>
        <w:pStyle w:val="Heading1"/>
      </w:pPr>
      <w:r>
        <w:t>文件使用顺序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先读《01_双方职责与项目边界说明书》，确认线上运营团队不承担进口、仓储、配送、质量、退款资金和本地许可。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用《02》《03》分别确认汾酒与海鲜每个动作的RACI。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把《04》作为总资料清单，再用《05》《06》补齐两个品类的专属资料。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用《07》至《12》填写商品、价格、库存、合规、内容事实和AI回复依据。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用《14》判断当前能做到哪一步；没有达到的状态不得越级。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用《16》《17》《22》《23》做SLA、异常、模拟测试和缺失阻断。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最后签署《20》并用《19》记录所有未决选择。</w:t>
            </w:r>
          </w:p>
        </w:tc>
      </w:tr>
    </w:tbl>
    <w:p>
      <w:pPr>
        <w:spacing w:after="40"/>
      </w:pPr>
    </w:p>
    <w:p>
      <w:pPr>
        <w:pStyle w:val="Heading1"/>
      </w:pPr>
      <w:r>
        <w:t>P0与P1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2376"/>
        <w:gridCol w:w="3672"/>
        <w:gridCol w:w="2160"/>
      </w:tblGrid>
      <w:tr>
        <w:trPr>
          <w:tblHeader w:val="true"/>
        </w:trPr>
        <w:tc>
          <w:tcPr>
            <w:tcW w:type="dxa" w:w="11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6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典型资料</w:t>
            </w:r>
          </w:p>
        </w:tc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未完成后果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不提供就不能进入对应正式动作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主体、授权、许可、商品、价格、库存、配送、收款、退款、质量责任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阻断上架、投流或成交</w:t>
            </w:r>
          </w:p>
        </w:tc>
      </w:tr>
      <w:tr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P1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不提供就难以稳定运营和放量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素材、案例、详细商务政策、日报周报、备份人员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只允许小范围测试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P2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优化效率与表现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更多语言、更多内容、长期分析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不影响基础合规，但影响转化效率</w:t>
            </w:r>
          </w:p>
        </w:tc>
      </w:tr>
    </w:tbl>
    <w:p>
      <w:pPr>
        <w:spacing w:after="40"/>
      </w:pPr>
    </w:p>
    <w:p>
      <w:pPr>
        <w:pStyle w:val="Heading1"/>
      </w:pPr>
      <w:r>
        <w:t>项目角色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3168"/>
        <w:gridCol w:w="5184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代号</w:t>
            </w:r>
          </w:p>
        </w:tc>
        <w:tc>
          <w:tcPr>
            <w:tcW w:type="dxa" w:w="31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51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主要责任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OP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市场研究、渠道、内容、AI内容、线上询问、CRM和数据复盘；不承担进口与履约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CN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真实商品、来源、质量、价格、供货、包装和中国出口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品牌授权、官方事实、视觉、素材权和真伪判断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NI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尼泊尔进口、海关、食品/酒类许可、标签与召回最终责任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NS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尼泊尔销售与收款主体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本地销售、收款、票据、退款资金、商务批准与销售责任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WH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尼泊尔仓储与履约团队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收货、仓储、温控、库存、拣货、包装、配送协同和售后实物处理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LC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尼泊尔合规顾问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当地法律、许可、广告、电商、标签和年龄等书面复核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PA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平台账号、Business Center、广告账户、后台测试、申诉和权限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支付服务机构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商户入网、支付、结算、退款和对账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LG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第三方物流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运输、冷链、送达、签收和配送异常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达人或联盟合作方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按批准方案制作和披露内容，不得绕过受管制商品限制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AI系统与技术执行方</w:t>
            </w:r>
          </w:p>
        </w:tc>
        <w:tc>
          <w:tcPr>
            <w:tcW w:type="dxa" w:w="51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事实源、同步、草稿、提醒、权限、日志和回退；不替代人工批准</w:t>
            </w:r>
          </w:p>
        </w:tc>
      </w:tr>
    </w:tbl>
    <w:p>
      <w:pPr>
        <w:spacing w:after="40"/>
      </w:pPr>
    </w:p>
    <w:p>
      <w:pPr>
        <w:pStyle w:val="Heading1"/>
      </w:pPr>
      <w:r>
        <w:t>执行原则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4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真值先行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任何内容、报价、库存、配送和售后答复只能读取已通过的当前版本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一个最终负责人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RACI每行只有一个A；多人执行不等于多人最终负责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缺失即降级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资料缺失、过期、冲突或无法追溯时，自动退回到更低准入状态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现实动作人工批准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正式发布、报价、投流、收款、退款、召回和大额政策必须人工批准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本地责任不外移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进口、许可、仓储、配送、质量、退款资金和票据由对应本地主体承担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版本可追溯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每次变更保留原值、新值、生效时间、影响范围、操作人和批准人</w:t>
            </w:r>
          </w:p>
        </w:tc>
      </w:tr>
    </w:tbl>
    <w:p>
      <w:pPr>
        <w:spacing w:after="40"/>
      </w:pPr>
    </w:p>
    <w:p>
      <w:pPr>
        <w:pStyle w:val="Heading1"/>
      </w:pPr>
      <w:r>
        <w:t>状态说明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960"/>
        <w:gridCol w:w="3888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8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使用要求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已确认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有官方、平台官方、真实文件或实际记录支持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可作为当前讨论依据；动态事项行动前再核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部分成立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方向有依据，但地区、账号、商品或执行条件未全部核实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只用于受控试点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缺少真实资料、当地书面意见或后台测试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完成验证前不作承诺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推测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根据现有资料形成的工作假设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用小范围测试检验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阻断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缺少P0条件或存在法律、平台、质量、收款、履约风险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不得进入对应动作</w:t>
            </w:r>
          </w:p>
        </w:tc>
      </w:tr>
    </w:tbl>
    <w:p>
      <w:pPr>
        <w:spacing w:after="40"/>
      </w:pPr>
    </w:p>
    <w:p>
      <w:pPr>
        <w:pStyle w:val="Heading1"/>
      </w:pPr>
      <w:r>
        <w:t>待确认与下一步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现在由谁行动</w:t>
            </w:r>
          </w:p>
        </w:tc>
        <w:tc>
          <w:tcPr>
            <w:tcW w:type="dxa" w:w="66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立即行动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发出《20_供应链正式资料提供及职责确认函》，安排首次会议并登记双方选择</w:t>
            </w:r>
          </w:p>
        </w:tc>
      </w:tr>
      <w:tr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66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在7个自然日内提交P0主体、授权、商品、价格、库存、配送、售后和质量资料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尼泊尔进口与销售主体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逐商品确认许可、税费、标签、收款、票据、退款和配送合法性</w:t>
            </w:r>
          </w:p>
        </w:tc>
      </w:tr>
      <w:tr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平台账户负责人</w:t>
            </w:r>
          </w:p>
        </w:tc>
        <w:tc>
          <w:tcPr>
            <w:tcW w:type="dxa" w:w="66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用实际账号测试企业授权、广告、LIVE、外链与Shop，不以其他国家结果替代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AI技术执行方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P0数据完成后建立事实源、权限、同步、告警和模拟验收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来源与适用范围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4"/>
        <w:gridCol w:w="2114"/>
        <w:gridCol w:w="1510"/>
        <w:gridCol w:w="1268"/>
        <w:gridCol w:w="1993"/>
        <w:gridCol w:w="845"/>
        <w:gridCol w:w="966"/>
      </w:tblGrid>
      <w:tr>
        <w:trPr>
          <w:tblHeader w:val="true"/>
        </w:trPr>
        <w:tc>
          <w:tcPr>
            <w:tcW w:type="dxa" w:w="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官方来源</w:t>
            </w:r>
          </w:p>
        </w:tc>
        <w:tc>
          <w:tcPr>
            <w:tcW w:type="dxa" w:w="15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发布机构</w:t>
            </w:r>
          </w:p>
        </w:tc>
        <w:tc>
          <w:tcPr>
            <w:tcW w:type="dxa" w:w="12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页面日期</w:t>
            </w:r>
          </w:p>
        </w:tc>
        <w:tc>
          <w:tcPr>
            <w:tcW w:type="dxa" w:w="19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适用范围</w:t>
            </w:r>
          </w:p>
        </w:tc>
        <w:tc>
          <w:tcPr>
            <w:tcW w:type="dxa" w:w="84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96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查询日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Community Guidelines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普通内容、商业披露、受管制商品、外链、直播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T02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Regulated Goods, Services, and Commercial Activities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酒类交易、营销、导流与有限例外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T03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Alcohol Advertising Policy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2025-09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酒类广告通用要求、禁止内容和许可要求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T05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Countries and Regions for Self-serve Ad Account Creation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2025-11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自助广告账户开通地区；公开清单未列尼泊尔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T06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2026-06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Shop 可用市场；公开清单未列尼泊尔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N01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Public Health Service Act, 2075, Section 45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2018；现行法律库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酒类广告材料制作、分发与传播限制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N02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Liquor Act, 2031 (1974)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官方译本；查询 2026-07-27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酒类销售与分销许可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N03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Liquor Rules, 2033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现行法律库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许可展示、销售时段、未满18岁禁售、票据与完税标识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F01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现行官方资料库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包装食品标签、批号、生产日期、有效期与净重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F02</w:t>
            </w:r>
          </w:p>
        </w:tc>
        <w:tc>
          <w:tcPr>
            <w:tcW w:type="dxa" w:w="21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15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12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9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食品进口申请入口</w:t>
            </w:r>
          </w:p>
        </w:tc>
        <w:tc>
          <w:tcPr>
            <w:tcW w:type="dxa" w:w="8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F04</w:t>
            </w:r>
          </w:p>
        </w:tc>
        <w:tc>
          <w:tcPr>
            <w:tcW w:type="dxa" w:w="2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EXIM Code Portal</w:t>
              </w:r>
            </w:hyperlink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1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进口主体海关注册与续期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232"/>
        <w:gridCol w:w="2592"/>
        <w:gridCol w:w="1296"/>
      </w:tblGrid>
      <w:tr>
        <w:trPr>
          <w:tblHeader w:val="true"/>
        </w:trPr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iktok.com/community-guidelines/en" TargetMode="External"/><Relationship Id="rId12" Type="http://schemas.openxmlformats.org/officeDocument/2006/relationships/hyperlink" Target="https://www.tiktok.com/community-guidelines/en/regulated-commercial-activities" TargetMode="External"/><Relationship Id="rId13" Type="http://schemas.openxmlformats.org/officeDocument/2006/relationships/hyperlink" Target="https://ads.tiktok.com/help/article/tiktok-ads-policy-alcohol" TargetMode="External"/><Relationship Id="rId14" Type="http://schemas.openxmlformats.org/officeDocument/2006/relationships/hyperlink" Target="https://ads.tiktok.com/help/article/available-countries-and-regions-for-ad-account-creation-in-bc" TargetMode="External"/><Relationship Id="rId15" Type="http://schemas.openxmlformats.org/officeDocument/2006/relationships/hyperlink" Target="https://ads.tiktok.com/help/article/tiktok-shopping-and-showcase" TargetMode="External"/><Relationship Id="rId16" Type="http://schemas.openxmlformats.org/officeDocument/2006/relationships/hyperlink" Target="https://repository.lawcommission.gov.np/np/category/documents/prevailing-law/statutes-acts/%E0%A4%9C%E0%A4%A8%E0%A4%B8%E0%A5%8D%E0%A4%B5%E0%A4%BE%E0%A4%B8%E0%A5%8D%E0%A4%A5%E0%A5%8D%E0%A4%AF-%E0%A4%B8%E0%A5%87%E0%A4%B5%E0%A4%BE-%E0%A4%90%E0%A4%A8-%E0%A5%A8%E0%A5%A6%E0%A5%AD%E0%A5%AB/" TargetMode="External"/><Relationship Id="rId17" Type="http://schemas.openxmlformats.org/officeDocument/2006/relationships/hyperlink" Target="https://ird.gov.np/public/pdf/325298436.pdf" TargetMode="External"/><Relationship Id="rId18" Type="http://schemas.openxmlformats.org/officeDocument/2006/relationships/hyperlink" Target="https://repository.lawcommission.gov.np/np/category/documents/prevailing-law/rules-and-regulations/%E0%A4%AE%E0%A4%A6%E0%A4%BF%E0%A4%B0%E0%A4%BE-%E0%A4%A8%E0%A4%BF%E0%A4%AF%E0%A4%AE%E0%A4%B9%E0%A4%B0%E0%A5%82-%E0%A5%A8%E0%A5%A6%E0%A5%A9%E0%A5%A9/" TargetMode="External"/><Relationship Id="rId19" Type="http://schemas.openxmlformats.org/officeDocument/2006/relationships/hyperlink" Target="https://www.dftqc.gov.np/rules/download-%2813%29-1742819788.pdf" TargetMode="External"/><Relationship Id="rId20" Type="http://schemas.openxmlformats.org/officeDocument/2006/relationships/hyperlink" Target="https://www.dftqc.gov.np/en/notice-details/136/32788974" TargetMode="External"/><Relationship Id="rId21" Type="http://schemas.openxmlformats.org/officeDocument/2006/relationships/hyperlink" Target="https://exim.customs.gov.n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00_项目总览与使用说明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