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双方职责与项目边界说明书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把线上运营、产品供应、本地进口、收款、履约、平台和技术责任分开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边界结论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各方负责事项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线上运营团队不承担事项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共同事项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决策与结果责任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交接要求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待确认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边界结论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不可越过的边界  </w:t>
      </w:r>
      <w:r>
        <w:rPr>
          <w:rFonts w:ascii="Hiragino Sans GB" w:hAnsi="Hiragino Sans GB" w:eastAsia="Hiragino Sans GB"/>
          <w:color w:val="1F2937"/>
          <w:sz w:val="21"/>
        </w:rPr>
        <w:t>线上运营团队负责线上市场与销售系统，不负责进口、报关、许可、法定标签、仓储、冷链、配送、产品质量、退款资金、召回、赔付和票据。上述事项必须由真实承担人书面确认。</w:t>
      </w:r>
    </w:p>
    <w:p>
      <w:pPr>
        <w:pStyle w:val="Heading1"/>
      </w:pPr>
      <w:r>
        <w:t>各方负责事项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168"/>
        <w:gridCol w:w="2736"/>
        <w:gridCol w:w="1368"/>
      </w:tblGrid>
      <w:tr>
        <w:trPr>
          <w:tblHeader w:val="true"/>
        </w:trPr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责任方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负责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13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最终承担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线上运营团队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市场研究、渠道、内容、AI内容、线上询问、CRM和数据复盘；不承担进口与履约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市场与渠道方案、内容、咨询和CRM记录、周报、人工审批清单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线上运营动作的准确性和留痕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真实商品、来源、质量、价格、供货、包装和中国出口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商品、价格、供货、批次、检测、包装、素材和出口资料</w:t>
            </w:r>
          </w:p>
        </w:tc>
        <w:tc>
          <w:tcPr>
            <w:tcW w:type="dxa" w:w="13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商品真实性、供货与源头质量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品牌授权、官方事实、视觉、素材权和真伪判断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授权链、官方事实、视觉、素材权、防伪与品牌审核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品牌权利和官方表述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尼泊尔进口、海关、食品/酒类许可、标签与召回最终责任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主体、EXIM Code、进口许可、报关、税费、标签与召回文件</w:t>
            </w:r>
          </w:p>
        </w:tc>
        <w:tc>
          <w:tcPr>
            <w:tcW w:type="dxa" w:w="13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进口与当地监管责任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本地销售、收款、票据、退款资金、商务批准与销售责任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销售许可、收款、票据、价格批准、退款和赔付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本地销售与资金责任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仓储与履约团队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收货、仓储、温控、库存、拣货、包装、配送协同和售后实物处理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库存、批次、温控、出库、配送和售后实物记录</w:t>
            </w:r>
          </w:p>
        </w:tc>
        <w:tc>
          <w:tcPr>
            <w:tcW w:type="dxa" w:w="13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履约与仓库操作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尼泊尔合规顾问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当地法律、许可、广告、电商、标签和年龄等书面复核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书面意见、适用条文、所需许可、限制和复核日期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专业意见范围内的复核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平台与广告账户主体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平台账号、Business Center、广告账户、后台测试、申诉和权限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账户资料、权限、后台能力、审核、驳回和申诉记录</w:t>
            </w:r>
          </w:p>
        </w:tc>
        <w:tc>
          <w:tcPr>
            <w:tcW w:type="dxa" w:w="13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账户与平台操作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AI系统与技术执行方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事实源、同步、草稿、提醒、权限、日志和回退；不替代人工批准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数据结构、权限、同步、告警、日志和安全回退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系统按批准规则运行</w:t>
            </w:r>
          </w:p>
        </w:tc>
      </w:tr>
    </w:tbl>
    <w:p>
      <w:pPr>
        <w:spacing w:after="40"/>
      </w:pPr>
    </w:p>
    <w:p>
      <w:pPr>
        <w:pStyle w:val="Heading1"/>
      </w:pPr>
      <w:r>
        <w:t>线上运营团队不承担事项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3024"/>
        <w:gridCol w:w="3384"/>
      </w:tblGrid>
      <w:tr>
        <w:trPr>
          <w:tblHeader w:val="true"/>
        </w:trPr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不承担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实际责任方</w:t>
            </w:r>
          </w:p>
        </w:tc>
        <w:tc>
          <w:tcPr>
            <w:tcW w:type="dxa" w:w="33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线上运营团队只做什么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进口、报关与税费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尼泊尔进口主体、报关行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根据已确认结果调整商品页和报价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酒类与食品许可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尼泊尔进口/销售主体、合规顾问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登记状态并执行阻断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法定包装与标签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供应方、进口主体、合规顾问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检查页面与实物是否一致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产品质量与检测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供应方、进口主体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收集证据并转交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仓储、冷链与配送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仓储、物流和销售主体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展示已批准范围和状态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收款、票据与退款资金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销售主体、支付机构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引导合法路径并记录进度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召回、赔付与销毁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进口、销售、供应与履约责任方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暂停内容、通知和CRM协同</w:t>
            </w:r>
          </w:p>
        </w:tc>
      </w:tr>
    </w:tbl>
    <w:p>
      <w:pPr>
        <w:spacing w:after="40"/>
      </w:pPr>
    </w:p>
    <w:p>
      <w:pPr>
        <w:pStyle w:val="Heading1"/>
      </w:pPr>
      <w:r>
        <w:t>共同事项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664"/>
        <w:gridCol w:w="3096"/>
        <w:gridCol w:w="1872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线上运营团队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产品与履约团队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共同验收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商品上架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制作商品页、检查事实、记录版本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提供并批准商品、许可、价格、库存、配送和售后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准入表全部P0通过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整理需求、生成草稿、发送批准版本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确认价格、库存、税费、配送和有效期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报价可回到批准记录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内容发布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制作、审校、披露和发布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确认事实、素材权、库存与可售范围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事实、法律与平台均通过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异常处理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停止自动回复、收集证据、通知相关方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隔离、调查、退款、补发、召回或赔付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处理结果与复盘归档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放量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复盘流量、询问、成交与复购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确认供应、仓配、质量和资金能力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达到《14》放量门槛</w:t>
            </w:r>
          </w:p>
        </w:tc>
      </w:tr>
    </w:tbl>
    <w:p>
      <w:pPr>
        <w:spacing w:after="40"/>
      </w:pPr>
    </w:p>
    <w:p>
      <w:pPr>
        <w:pStyle w:val="Heading1"/>
      </w:pPr>
      <w:r>
        <w:t>决策与结果责任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2736"/>
        <w:gridCol w:w="2088"/>
        <w:gridCol w:w="2232"/>
      </w:tblGrid>
      <w:tr>
        <w:trPr>
          <w:tblHeader w:val="true"/>
        </w:trPr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谁决定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谁执行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谁对结果负责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市场与内容方向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线上运营团队项目负责人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内容、渠道与技术人员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商品真实性与供货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中国产品供应方负责人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供应与质量人员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当地进口与许可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尼泊尔进口主体负责人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报关与合规人员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销售、价格、收款与退款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尼泊尔销售主体负责人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商务、财务和售后人员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尼泊尔销售主体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仓库与配送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仓储与履约负责人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仓库和物流人员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仓储与履约团队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账号与平台操作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账户主体负责人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平台运营人员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AI自动化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线上运营团队与技术负责人共同批准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技术执行方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规则批准方承担业务决定，技术方承担系统执行</w:t>
            </w:r>
          </w:p>
        </w:tc>
      </w:tr>
    </w:tbl>
    <w:p>
      <w:pPr>
        <w:spacing w:after="40"/>
      </w:pPr>
    </w:p>
    <w:p>
      <w:pPr>
        <w:pStyle w:val="Heading1"/>
      </w:pPr>
      <w:r>
        <w:t>交接要求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同一家公司承担多个角色时，也按角色分别签名，不把进口、销售、仓储和平台责任合并。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主负责人离开或无法联系时，备用负责人应在SLA内接管。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任何口头确认必须在1个工作日内写入对应DOCX并由责任方确认。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合作终止时按《18》约定导出账号、内容、CRM、数据库和审批记录。</w:t>
            </w:r>
          </w:p>
        </w:tc>
      </w:tr>
    </w:tbl>
    <w:p>
      <w:pPr>
        <w:spacing w:after="40"/>
      </w:pPr>
    </w:p>
    <w:p>
      <w:pPr>
        <w:pStyle w:val="Heading1"/>
      </w:pPr>
      <w:r>
        <w:t>待确认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1584"/>
        <w:gridCol w:w="2448"/>
        <w:gridCol w:w="2088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需要谁确认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不确认的影响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各角色由哪家公司或人员承担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双方及尼泊尔当地团队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RACI无法落到真实人员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同一主体是否兼任进口、销售、收款和仓储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尼泊尔当地团队、合规顾问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授权链和许可范围不清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最终签字人与备用负责人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各责任方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紧急事件无人接管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90天试点预算与停止线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双方决策人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无法启动现实动作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88"/>
        <w:gridCol w:w="1728"/>
        <w:gridCol w:w="2088"/>
        <w:gridCol w:w="1512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01_双方职责与项目边界说明书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