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汾酒项目RACI责任矩阵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汾酒从资料、内容、销售到履约和复盘的唯一最终负责人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RACI说明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角色对照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责任矩阵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阻断升级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RACI说明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5"/>
        <w:gridCol w:w="4825"/>
        <w:gridCol w:w="7676"/>
      </w:tblGrid>
      <w:tr>
        <w:trPr>
          <w:tblHeader w:val="true"/>
        </w:trPr>
        <w:tc>
          <w:tcPr>
            <w:tcW w:type="dxa" w:w="17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字母</w:t>
            </w:r>
          </w:p>
        </w:tc>
        <w:tc>
          <w:tcPr>
            <w:tcW w:type="dxa" w:w="48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76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R</w:t>
            </w:r>
          </w:p>
        </w:tc>
        <w:tc>
          <w:tcPr>
            <w:tcW w:type="dxa" w:w="4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实际执行</w:t>
            </w:r>
          </w:p>
        </w:tc>
        <w:tc>
          <w:tcPr>
            <w:tcW w:type="dxa" w:w="76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可多人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A</w:t>
            </w:r>
          </w:p>
        </w:tc>
        <w:tc>
          <w:tcPr>
            <w:tcW w:type="dxa" w:w="48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最终负责与批准</w:t>
            </w:r>
          </w:p>
        </w:tc>
        <w:tc>
          <w:tcPr>
            <w:tcW w:type="dxa" w:w="76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每行只有一个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C</w:t>
            </w:r>
          </w:p>
        </w:tc>
        <w:tc>
          <w:tcPr>
            <w:tcW w:type="dxa" w:w="4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动作前必须协商</w:t>
            </w:r>
          </w:p>
        </w:tc>
        <w:tc>
          <w:tcPr>
            <w:tcW w:type="dxa" w:w="76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未协商不得开始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I</w:t>
            </w:r>
          </w:p>
        </w:tc>
        <w:tc>
          <w:tcPr>
            <w:tcW w:type="dxa" w:w="48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动作后需要通知</w:t>
            </w:r>
          </w:p>
        </w:tc>
        <w:tc>
          <w:tcPr>
            <w:tcW w:type="dxa" w:w="76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按SLA留痕</w:t>
            </w:r>
          </w:p>
        </w:tc>
      </w:tr>
    </w:tbl>
    <w:p>
      <w:pPr>
        <w:spacing w:after="40"/>
      </w:pPr>
    </w:p>
    <w:p>
      <w:pPr>
        <w:pStyle w:val="Heading1"/>
      </w:pPr>
      <w:r>
        <w:t>角色对照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5"/>
        <w:gridCol w:w="12501"/>
      </w:tblGrid>
      <w:tr>
        <w:trPr>
          <w:tblHeader w:val="true"/>
        </w:trPr>
        <w:tc>
          <w:tcPr>
            <w:tcW w:type="dxa" w:w="17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代号</w:t>
            </w:r>
          </w:p>
        </w:tc>
        <w:tc>
          <w:tcPr>
            <w:tcW w:type="dxa" w:w="125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角色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OP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CN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BR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NI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NS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尼泊尔销售与收款主体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WH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尼泊尔仓储与履约团队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LC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尼泊尔合规顾问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PA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PY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支付服务机构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LG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第三方物流</w:t>
            </w:r>
          </w:p>
        </w:tc>
      </w:tr>
      <w:tr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CR</w:t>
            </w:r>
          </w:p>
        </w:tc>
        <w:tc>
          <w:tcPr>
            <w:tcW w:type="dxa" w:w="12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达人或联盟合作方</w:t>
            </w:r>
          </w:p>
        </w:tc>
      </w:tr>
      <w:tr>
        <w:tc>
          <w:tcPr>
            <w:tcW w:type="dxa" w:w="17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</w:t>
            </w:r>
          </w:p>
        </w:tc>
        <w:tc>
          <w:tcPr>
            <w:tcW w:type="dxa" w:w="12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AI系统与技术执行方</w:t>
            </w:r>
          </w:p>
        </w:tc>
      </w:tr>
    </w:tbl>
    <w:p>
      <w:pPr>
        <w:spacing w:after="40"/>
      </w:pPr>
    </w:p>
    <w:p>
      <w:pPr>
        <w:pStyle w:val="Heading1"/>
      </w:pPr>
      <w:r>
        <w:t>责任矩阵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5"/>
        <w:gridCol w:w="1648"/>
        <w:gridCol w:w="931"/>
        <w:gridCol w:w="716"/>
        <w:gridCol w:w="1075"/>
        <w:gridCol w:w="931"/>
        <w:gridCol w:w="1791"/>
        <w:gridCol w:w="1576"/>
        <w:gridCol w:w="1218"/>
        <w:gridCol w:w="1863"/>
        <w:gridCol w:w="645"/>
        <w:gridCol w:w="1217"/>
      </w:tblGrid>
      <w:tr>
        <w:trPr>
          <w:tblHeader w:val="true"/>
        </w:trPr>
        <w:tc>
          <w:tcPr>
            <w:tcW w:type="dxa" w:w="64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动作</w:t>
            </w:r>
          </w:p>
        </w:tc>
        <w:tc>
          <w:tcPr>
            <w:tcW w:type="dxa" w:w="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R</w:t>
            </w:r>
          </w:p>
        </w:tc>
        <w:tc>
          <w:tcPr>
            <w:tcW w:type="dxa" w:w="7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</w:t>
            </w:r>
          </w:p>
        </w:tc>
        <w:tc>
          <w:tcPr>
            <w:tcW w:type="dxa" w:w="10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C</w:t>
            </w:r>
          </w:p>
        </w:tc>
        <w:tc>
          <w:tcPr>
            <w:tcW w:type="dxa" w:w="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I</w:t>
            </w:r>
          </w:p>
        </w:tc>
        <w:tc>
          <w:tcPr>
            <w:tcW w:type="dxa" w:w="179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前置条件</w:t>
            </w:r>
          </w:p>
        </w:tc>
        <w:tc>
          <w:tcPr>
            <w:tcW w:type="dxa" w:w="15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交付物</w:t>
            </w:r>
          </w:p>
        </w:tc>
        <w:tc>
          <w:tcPr>
            <w:tcW w:type="dxa" w:w="121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SLA</w:t>
            </w:r>
          </w:p>
        </w:tc>
        <w:tc>
          <w:tcPr>
            <w:tcW w:type="dxa" w:w="18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验收</w:t>
            </w:r>
          </w:p>
        </w:tc>
        <w:tc>
          <w:tcPr>
            <w:tcW w:type="dxa" w:w="64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阻断</w:t>
            </w:r>
          </w:p>
        </w:tc>
        <w:tc>
          <w:tcPr>
            <w:tcW w:type="dxa" w:w="121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异常升级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F01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品牌授权范围确认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CN,NS,LC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OP,PA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尼泊尔与线上渠道授权文件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授权确认页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资料齐备后2个工作日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地域、渠道、期限、改编权完整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F02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产品资料与包装真伪核对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OP,NI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NS,WH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逐SKU实物与官方资料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商品资料包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首次7日；变更前通知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照片、规格、酒精度、容量一致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F03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尼泊尔酒类进口许可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LC,CN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OP,NS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有效主体与逐批资料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许可及有效期登记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首批发货前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当地顾问书面核对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进口主体负责人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F04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酒类销售与消费税许可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LC,NI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OP,WH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经营地点、销售方式与许可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许可登记及展示证明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任何销售前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主体、地点、业务模式一致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销售主体负责人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F05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本地广告法律复核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OP,BR,PA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拟发布内容与传播方式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书面意见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任何公开推广前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明确可做、不可做、需审批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合规顾问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F06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TikTok账号注册与归属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OP,NS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BR,AI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双方签署账号归属方案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账号登记表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内容准备前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邮箱、手机号、管理员可交接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账户负责人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F07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企业身份或受管制行业授权申请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NS,LC,BR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主体、许可、授权链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后台申请与回执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公开推广前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后台状态可截图复核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账户负责人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F08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广告账户与尼泊尔地域能力核验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OP,LC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实际Business Center与平台支持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后台测试记录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投流前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开户、地域、行业均通过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广告账户负责人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F09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普通教育内容草拟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BR,LC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已批准事实库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脚本与画面稿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每周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不含购买引导或未证实说法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F10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AI视频制作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OP,AI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BR,LC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素材授权与事实通过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成片与素材清单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每批3日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瓶体、包装、酒精度无误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F11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内容事实审核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CN,OP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脚本、字幕、画面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审核记录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24小时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每条宣传点有来源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F12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法律与平台审核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LC,PA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OP,BR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事实审核已通过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准发或退回记录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48小时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法律、平台、披露要求明确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销售主体负责人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F13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年龄与责任饮酒提示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LC,PA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当地法律与平台要求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提示语与展示位置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发布前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语言、年龄与位置通过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合规负责人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F14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普通视频发布批准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OP,BR,LC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发布门槛已满足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发布记录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发布前4小时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披露开关与内容版本一致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账户负责人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F15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达人合作资格与授权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LC,PA,CR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达人名单、协议、素材权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合作确认单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合作前3日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不得绕过酒类限制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F16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广告投放批准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LC,PA,BR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法律与平台书面通过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预算与投放单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投放前2日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地域、年龄、落地页、许可通过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销售主体负责人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F17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评论与私信一般回复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OP,AI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BR,LC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批准FAQ与人工接管规则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回复记录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工作时段30分钟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不报价、不导购、不承诺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运营负责人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F18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酒类询问人工接管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LC,WH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咨询记录与年龄提示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交接记录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15分钟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不由AI完成销售承诺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销售主体负责人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F19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下单与验龄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LC,OP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合法销售路径已确认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订单与验龄记录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下单时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达到当地年龄要求并留痕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销售主体负责人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F20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收款与票据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NS,PY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OP,LC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收款主体与税务已确认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付款和票据记录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金额、订单、票据一致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财务负责人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F21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仓库出库与配送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WH,LG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WH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NS,OP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订单、库存、年龄与地址通过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出库与签收记录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按承诺时效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瓶体、数量、签收人一致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履约负责人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F22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退款与破损处理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NS,WH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OP,LG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售后规则与证据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处理记录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首次2小时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退款与补发有凭证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F23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疑似假货与重大投诉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BR,CN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BR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NS,LC,OP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NI,PA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防伪与批次资料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调查与处置报告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30分钟升级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先停相关批次与内容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F24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平台申诉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PA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OP,BR,LC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驳回或限制通知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申诉记录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收到后4小时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原因、证据、结果完整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账户负责人</w:t>
            </w:r>
          </w:p>
        </w:tc>
      </w:tr>
      <w:tr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F25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许可与授权续期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NI,NS,BR</w:t>
            </w:r>
          </w:p>
        </w:tc>
        <w:tc>
          <w:tcPr>
            <w:tcW w:type="dxa" w:w="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LC,CN</w:t>
            </w:r>
          </w:p>
        </w:tc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OP,PA</w:t>
            </w:r>
          </w:p>
        </w:tc>
        <w:tc>
          <w:tcPr>
            <w:tcW w:type="dxa" w:w="1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到期清单</w:t>
            </w:r>
          </w:p>
        </w:tc>
        <w:tc>
          <w:tcPr>
            <w:tcW w:type="dxa" w:w="1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续期证明</w:t>
            </w:r>
          </w:p>
        </w:tc>
        <w:tc>
          <w:tcPr>
            <w:tcW w:type="dxa" w:w="12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到期前60日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无空档期</w:t>
            </w:r>
          </w:p>
        </w:tc>
        <w:tc>
          <w:tcPr>
            <w:tcW w:type="dxa" w:w="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合规负责人</w:t>
            </w:r>
          </w:p>
        </w:tc>
      </w:tr>
      <w:tr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F26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数据复盘与阶段决策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OP,AI</w:t>
            </w:r>
          </w:p>
        </w:tc>
        <w:tc>
          <w:tcPr>
            <w:tcW w:type="dxa" w:w="7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OP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NS,BR,WH</w:t>
            </w:r>
          </w:p>
        </w:tc>
        <w:tc>
          <w:tcPr>
            <w:tcW w:type="dxa" w:w="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CN,NI</w:t>
            </w:r>
          </w:p>
        </w:tc>
        <w:tc>
          <w:tcPr>
            <w:tcW w:type="dxa" w:w="17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真实内容、咨询、订单、售后数据</w:t>
            </w:r>
          </w:p>
        </w:tc>
        <w:tc>
          <w:tcPr>
            <w:tcW w:type="dxa" w:w="15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周报与决策记录</w:t>
            </w:r>
          </w:p>
        </w:tc>
        <w:tc>
          <w:tcPr>
            <w:tcW w:type="dxa" w:w="12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每周</w:t>
            </w:r>
          </w:p>
        </w:tc>
        <w:tc>
          <w:tcPr>
            <w:tcW w:type="dxa" w:w="1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研究、执行、成交分层</w:t>
            </w:r>
          </w:p>
        </w:tc>
        <w:tc>
          <w:tcPr>
            <w:tcW w:type="dxa" w:w="6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21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项目负责人</w:t>
            </w:r>
          </w:p>
        </w:tc>
      </w:tr>
    </w:tbl>
    <w:p>
      <w:pPr>
        <w:spacing w:after="40"/>
      </w:pPr>
    </w:p>
    <w:p>
      <w:pPr>
        <w:pStyle w:val="Heading1"/>
      </w:pPr>
      <w:r>
        <w:t>阻断升级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93"/>
        <w:gridCol w:w="12063"/>
      </w:tblGrid>
      <w:tr>
        <w:trPr>
          <w:tblHeader w:val="true"/>
        </w:trPr>
        <w:tc>
          <w:tcPr>
            <w:tcW w:type="dxa" w:w="21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20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P0</w:t>
            </w:r>
          </w:p>
        </w:tc>
        <w:tc>
          <w:tcPr>
            <w:tcW w:type="dxa" w:w="12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停止对应发布、报价、上架、投流、收款或履约；立即通知A与升级对象</w:t>
            </w:r>
          </w:p>
        </w:tc>
      </w:tr>
      <w:tr>
        <w:tc>
          <w:tcPr>
            <w:tcW w:type="dxa" w:w="21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P1</w:t>
            </w:r>
          </w:p>
        </w:tc>
        <w:tc>
          <w:tcPr>
            <w:tcW w:type="dxa" w:w="12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允许受控测试，但不得放量；在下一个工作日内完成修正</w:t>
            </w:r>
          </w:p>
        </w:tc>
      </w:tr>
      <w:tr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P2</w:t>
            </w:r>
          </w:p>
        </w:tc>
        <w:tc>
          <w:tcPr>
            <w:tcW w:type="dxa" w:w="12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记录并进入周度优化，不影响已通过的基础动作</w:t>
            </w:r>
          </w:p>
        </w:tc>
      </w:tr>
    </w:tbl>
    <w:p>
      <w:pPr>
        <w:spacing w:after="40"/>
      </w:pPr>
    </w:p>
    <w:p>
      <w:pPr>
        <w:pStyle w:val="Heading1"/>
      </w:pPr>
      <w:r>
        <w:t>RACI签字确认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02_汾酒项目RACI责任矩阵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