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供应链资料交付总清单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每项资料都写明提供、复核、格式、频率、有效期、AI读取和缺失影响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填写说明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资料交付总表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验收与退回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P0立即阻断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签字确认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填写说明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交付形式  </w:t>
      </w:r>
      <w:r>
        <w:rPr>
          <w:rFonts w:ascii="Hiragino Sans GB" w:hAnsi="Hiragino Sans GB" w:eastAsia="Hiragino Sans GB"/>
          <w:color w:val="1F2937"/>
          <w:sz w:val="21"/>
        </w:rPr>
        <w:t>本轮最终文件全部为DOCX。请直接在本表填写；证书、许可、检测、授权和原件照片作为附件提供。若已有系统，可另附CSV或JSON导出，但不能只发聊天截图。</w:t>
      </w:r>
    </w:p>
    <w:p>
      <w:pPr>
        <w:pStyle w:val="Heading1"/>
      </w:pPr>
      <w:r>
        <w:t>资料交付总表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5"/>
        <w:gridCol w:w="2222"/>
        <w:gridCol w:w="1419"/>
        <w:gridCol w:w="1728"/>
        <w:gridCol w:w="1666"/>
        <w:gridCol w:w="1543"/>
        <w:gridCol w:w="1111"/>
        <w:gridCol w:w="987"/>
        <w:gridCol w:w="1543"/>
        <w:gridCol w:w="1482"/>
      </w:tblGrid>
      <w:tr>
        <w:trPr>
          <w:tblHeader w:val="true"/>
        </w:trPr>
        <w:tc>
          <w:tcPr>
            <w:tcW w:type="dxa" w:w="55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22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资料与具体内容</w:t>
            </w:r>
          </w:p>
        </w:tc>
        <w:tc>
          <w:tcPr>
            <w:tcW w:type="dxa" w:w="141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提供/复核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形式与范围</w:t>
            </w:r>
          </w:p>
        </w:tc>
        <w:tc>
          <w:tcPr>
            <w:tcW w:type="dxa" w:w="166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首次/更新/有效</w:t>
            </w:r>
          </w:p>
        </w:tc>
        <w:tc>
          <w:tcPr>
            <w:tcW w:type="dxa" w:w="15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验收</w:t>
            </w:r>
          </w:p>
        </w:tc>
        <w:tc>
          <w:tcPr>
            <w:tcW w:type="dxa" w:w="111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渠道</w:t>
            </w:r>
          </w:p>
        </w:tc>
        <w:tc>
          <w:tcPr>
            <w:tcW w:type="dxa" w:w="98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AI读取</w:t>
            </w:r>
          </w:p>
        </w:tc>
        <w:tc>
          <w:tcPr>
            <w:tcW w:type="dxa" w:w="154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缺失影响/阻断</w:t>
            </w:r>
          </w:p>
        </w:tc>
        <w:tc>
          <w:tcPr>
            <w:tcW w:type="dxa" w:w="14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变更SLA/主备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中国供应企业登记文件</w:t>
              <w:br/>
              <w:t>完整登记信息、经营范围、法定代表、有效状态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复核：尼泊尔进口主体、尼泊尔合规顾问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缺失将导致中国供应企业登记文件无法进入正式使用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备份：尼泊尔进口主体、尼泊尔合规顾问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尼泊尔进口主体文件</w:t>
              <w:br/>
              <w:t>公司登记、税号、EXIM Code、授权人员、有效期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</w:t>
              <w:br/>
              <w:t>复核：尼泊尔合规顾问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缺失将导致尼泊尔进口主体文件无法进入正式使用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</w:t>
              <w:br/>
              <w:t>备份：尼泊尔合规顾问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尼泊尔销售与收款主体文件</w:t>
              <w:br/>
              <w:t>公司登记、税号、经营地点、收款名称、票据主体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缺失将导致尼泊尔销售与收款主体文件无法进入正式使用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仓储与履约主体文件</w:t>
              <w:br/>
              <w:t>仓库地址、许可、负责人、温控能力、服务合同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复核：尼泊尔进口主体、尼泊尔合规顾问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缺失将导致仓储与履约主体文件无法进入正式使用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</w:t>
              <w:br/>
              <w:t>备份：尼泊尔进口主体、尼泊尔合规顾问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平台与广告账户主体说明</w:t>
              <w:br/>
              <w:t>注册名称、管理员、邮箱、手机号、付款方式、归属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复核：线上运营团队、尼泊尔销售与收款主体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缺失将导致平台与广告账户主体说明无法进入正式使用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主责：平台与广告账户主体</w:t>
              <w:br/>
              <w:t>备份：线上运营团队、尼泊尔销售与收款主体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售后与退款执行主体说明</w:t>
              <w:br/>
              <w:t>资金退回、补发、赔付、投诉和召回的实际执行方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复核：线上运营团队、尼泊尔合规顾问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缺失将导致售后与退款执行主体说明无法进入正式使用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备份：线上运营团队、尼泊尔合规顾问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A07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主体关系与授权链</w:t>
              <w:br/>
              <w:t>进口、销售、收款、仓储、品牌和平台主体之间的合同或授权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提供：尼泊尔进口主体、尼泊尔销售与收款主体、汾酒品牌授权方</w:t>
              <w:br/>
              <w:t>复核：尼泊尔合规顾问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缺失将导致主体关系与授权链无法进入正式使用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主责：尼泊尔进口主体、尼泊尔销售与收款主体、汾酒品牌授权方</w:t>
              <w:br/>
              <w:t>备份：尼泊尔合规顾问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A08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企业主体</w:t>
              <w:br/>
              <w:t>负责人和紧急联系人</w:t>
              <w:br/>
              <w:t>姓名、角色、工作电话、备用人员、可联系时段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提供：中国产品供应方、尼泊尔进口主体、尼泊尔销售与收款主体、尼泊尔仓储与履约团队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缺失将导致负责人和紧急联系人无法进入正式使用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主责：中国产品供应方、尼泊尔进口主体、尼泊尔销售与收款主体、尼泊尔仓储与履约团队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尼泊尔地区授权</w:t>
              <w:br/>
              <w:t>品牌、地区、产品、期限、是否独家、签署主体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复核：尼泊尔合规顾问、尼泊尔销售与收款主体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缺失将导致尼泊尔地区授权无法进入正式使用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</w:t>
              <w:br/>
              <w:t>备份：尼泊尔合规顾问、尼泊尔销售与收款主体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线上与TikTok宣传授权</w:t>
              <w:br/>
              <w:t>平台、内容形式、账号、素材改编、直播和达人范围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复核：线上运营团队、平台与广告账户主体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缺失将导致线上与TikTok宣传授权无法进入正式使用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</w:t>
              <w:br/>
              <w:t>备份：线上运营团队、平台与广告账户主体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电商与站外销售授权</w:t>
              <w:br/>
              <w:t>允许的销售渠道、收款主体、地区和价格管理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复核：尼泊尔销售与收款主体、尼泊尔合规顾问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缺失将导致电商与站外销售授权无法进入正式使用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</w:t>
              <w:br/>
              <w:t>备份：尼泊尔销售与收款主体、尼泊尔合规顾问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商标与视觉规范</w:t>
              <w:br/>
              <w:t>Logo、颜色、包装、禁改区域、文件版本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缺失将导致商标与视觉规范无法进入正式使用</w:t>
              <w:br/>
              <w:t>等级：P1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素材商业使用与AI改编权</w:t>
              <w:br/>
              <w:t>图片、视频、音乐、人物、门店和包装的使用范围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提供：汾酒品牌授权方、中国产品供应方</w:t>
              <w:br/>
              <w:t>复核：线上运营团队、尼泊尔合规顾问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缺失将导致素材商业使用与AI改编权无法进入正式使用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主责：汾酒品牌授权方、中国产品供应方</w:t>
              <w:br/>
              <w:t>备份：线上运营团队、尼泊尔合规顾问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品牌授权</w:t>
              <w:br/>
              <w:t>官方故事与可宣传荣誉</w:t>
              <w:br/>
              <w:t>每个说法的正式出处、适用产品和有效范围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缺失将导致官方故事与可宣传荣誉无法进入正式使用</w:t>
              <w:br/>
              <w:t>等级：P1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商品唯一编号</w:t>
              <w:br/>
              <w:t>每个实物版本一个编号，关联包装、批次和销售状态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复核：线上运营团队、AI系统与技术执行方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缺失将导致商品唯一编号无法进入正式使用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备份：线上运营团队、AI系统与技术执行方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中英文和尼泊尔销售名称</w:t>
              <w:br/>
              <w:t>正式名称、品类、品牌、系列、当地展示名称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缺失将导致中英文和尼泊尔销售名称无法进入正式使用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规格、净重和外箱</w:t>
              <w:br/>
              <w:t>单件规格、净重、毛重、件数、尺寸、条码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复核：尼泊尔仓储与履约团队、线上运营团队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缺失将导致规格、净重和外箱无法进入正式使用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备份：尼泊尔仓储与履约团队、线上运营团队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海关编码和原产地</w:t>
              <w:br/>
              <w:t>逐商品预归类、产地、生产商和最终当地复核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缺失将导致海关编码和原产地无法进入正式使用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</w:t>
              <w:br/>
              <w:t>备份：尼泊尔合规顾问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保质期与储存</w:t>
              <w:br/>
              <w:t>生产日期、有效期、储存温度、开封或解冻后要求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复核：尼泊尔进口主体、尼泊尔仓储与履约团队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缺失将导致保质期与储存无法进入正式使用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备份：尼泊尔进口主体、尼泊尔仓储与履约团队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真实图片与视频</w:t>
              <w:br/>
              <w:t>正反面、标签、外箱、细节、实际规格和拍摄日期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缺失将导致真实图片与视频无法进入正式使用</w:t>
              <w:br/>
              <w:t>等级：P1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C07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标签稿与实物一致性</w:t>
              <w:br/>
              <w:t>印刷稿、贴标位置、语言、批号、日期和净重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复核：尼泊尔合规顾问、尼泊尔仓储与履约团队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缺失将导致标签稿与实物一致性无法进入正式使用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</w:t>
              <w:br/>
              <w:t>备份：尼泊尔合规顾问、尼泊尔仓储与履约团队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C08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商品资料</w:t>
              <w:br/>
              <w:t>上架与销售状态</w:t>
              <w:br/>
              <w:t>待审核、可上架、暂停、永久下架及原因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提供：线上运营团队、尼泊尔销售与收款主体</w:t>
              <w:br/>
              <w:t>复核：AI系统与技术执行方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更新：首次上线前；变更时立即；每季度复核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缺失将导致上架与销售状态无法进入正式使用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主责：线上运营团队、尼泊尔销售与收款主体</w:t>
              <w:br/>
              <w:t>备份：AI系统与技术执行方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逐商品合规文件索引</w:t>
              <w:br/>
              <w:t>文件编号、机构、日期、有效期、适用商品和原件保管人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缺失将导致逐商品合规文件索引无法进入正式使用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</w:t>
              <w:br/>
              <w:t>备份：尼泊尔合规顾问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酒类进口与销售许可</w:t>
              <w:br/>
              <w:t>主体、地点、业务模式、许可编号、有效期和续期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提供：尼泊尔进口主体、尼泊尔销售与收款主体</w:t>
              <w:br/>
              <w:t>复核：尼泊尔合规顾问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缺失将导致酒类进口与销售许可无法进入正式使用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主责：尼泊尔进口主体、尼泊尔销售与收款主体</w:t>
              <w:br/>
              <w:t>备份：尼泊尔合规顾问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酒类完税与票据证明</w:t>
              <w:br/>
              <w:t>逐批完税、消费税标识、采购票据和可追溯关系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提供：尼泊尔进口主体、尼泊尔销售与收款主体</w:t>
              <w:br/>
              <w:t>复核：尼泊尔合规顾问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缺失将导致酒类完税与票据证明无法进入正式使用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主责：尼泊尔进口主体、尼泊尔销售与收款主体</w:t>
              <w:br/>
              <w:t>备份：尼泊尔合规顾问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食品进口许可与EXIM Code</w:t>
              <w:br/>
              <w:t>主体、逐商品申请路径、有效期和回执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</w:t>
              <w:br/>
              <w:t>复核：尼泊尔合规顾问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缺失将导致食品进口许可与EXIM Code无法进入正式使用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</w:t>
              <w:br/>
              <w:t>备份：尼泊尔合规顾问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检测、卫生或检疫文件</w:t>
              <w:br/>
              <w:t>机构、方法、日期、批次、适用商品和结论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</w:t>
              <w:br/>
              <w:t>复核：尼泊尔合规顾问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缺失将导致检测、卫生或检疫文件无法进入正式使用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</w:t>
              <w:br/>
              <w:t>备份：尼泊尔合规顾问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包装与标签批准</w:t>
              <w:br/>
              <w:t>当地要求、语言、过敏提示、净重、日期和批次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提供：尼泊尔进口主体</w:t>
              <w:br/>
              <w:t>复核：尼泊尔合规顾问、线上运营团队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缺失将导致包装与标签批准无法进入正式使用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主责：尼泊尔进口主体</w:t>
              <w:br/>
              <w:t>备份：尼泊尔合规顾问、线上运营团队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D07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平台行业审核与后台回执</w:t>
              <w:br/>
              <w:t>申请日期、提交资料、状态、驳回、申诉和截图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提供：平台与广告账户主体</w:t>
              <w:br/>
              <w:t>复核：线上运营团队、尼泊尔销售与收款主体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缺失将导致平台行业审核与后台回执无法进入正式使用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主责：平台与广告账户主体</w:t>
              <w:br/>
              <w:t>备份：线上运营团队、尼泊尔销售与收款主体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D08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合规资料</w:t>
              <w:br/>
              <w:t>文件到期提醒</w:t>
              <w:br/>
              <w:t>到期日、提前提醒日、续期负责人和暂停范围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提供：尼泊尔合规顾问、AI系统与技术执行方</w:t>
              <w:br/>
              <w:t>复核：尼泊尔进口主体、尼泊尔销售与收款主体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更新：首次上线前；到期前60日复核</w:t>
              <w:br/>
              <w:t>有效：以文件有效期或批准版本为准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缺失将导致文件到期提醒无法进入正式使用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主责：尼泊尔合规顾问、AI系统与技术执行方</w:t>
              <w:br/>
              <w:t>备份：尼泊尔进口主体、尼泊尔销售与收款主体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供货价</w:t>
              <w:br/>
              <w:t>币种、计价单位、税费、装运条件、有效期和批准人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</w:t>
              <w:br/>
              <w:t>复核：尼泊尔销售与收款主体、线上运营团队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缺失将导致供货价无法进入正式使用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</w:t>
              <w:br/>
              <w:t>备份：尼泊尔销售与收款主体、线上运营团队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B2B阶梯价</w:t>
              <w:br/>
              <w:t>采购量区间、最低订货量、配送、账期和有效期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缺失将导致B2B阶梯价无法进入正式使用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B2C建议价与平台价</w:t>
              <w:br/>
              <w:t>日常价、活动价、费用、最低允许价和有效期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复核：中国产品供应方、线上运营团队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缺失将导致B2C建议价与平台价无法进入正式使用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备份：中国产品供应方、线上运营团队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酒店餐厅与经销政策</w:t>
              <w:br/>
              <w:t>样品、返点、账期、区域、独家和审批条件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提供：中国产品供应方、尼泊尔销售与收款主体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缺失将导致酒店餐厅与经销政策无法进入正式使用</w:t>
              <w:br/>
              <w:t>等级：P1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主责：中国产品供应方、尼泊尔销售与收款主体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达人与联盟佣金</w:t>
              <w:br/>
              <w:t>计算口径、退单处理、结算周期和上限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复核：线上运营团队、尼泊尔合规顾问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缺失将导致达人与联盟佣金无法进入正式使用</w:t>
              <w:br/>
              <w:t>等级：P1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备份：线上运营团队、尼泊尔合规顾问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E06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价格商务</w:t>
              <w:br/>
              <w:t>配送费与免运门槛</w:t>
              <w:br/>
              <w:t>区域、重量、时段、低温费用和例外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提供：尼泊尔仓储与履约团队、尼泊尔销售与收款主体</w:t>
              <w:br/>
              <w:t>复核：线上运营团队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更新：首次报价前；每次价格变化；每周复核</w:t>
              <w:br/>
              <w:t>有效：以报价有效期为准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缺失将导致配送费与免运门槛无法进入正式使用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主责：尼泊尔仓储与履约团队、尼泊尔销售与收款主体</w:t>
              <w:br/>
              <w:t>备份：线上运营团队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F01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实时库存</w:t>
              <w:br/>
              <w:t>在库、可售、锁定、预留、在途、临期和暂停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复核：尼泊尔销售与收款主体、AI系统与技术执行方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缺失将导致实时库存无法进入正式使用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</w:t>
              <w:br/>
              <w:t>备份：尼泊尔销售与收款主体、AI系统与技术执行方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F02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补货与缺货</w:t>
              <w:br/>
              <w:t>预计到货、可信度、替代商品、停卖和恢复时间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提供：中国产品供应方、尼泊尔仓储与履约团队</w:t>
              <w:br/>
              <w:t>复核：线上运营团队、尼泊尔销售与收款主体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缺失将导致补货与缺货无法进入正式使用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主责：中国产品供应方、尼泊尔仓储与履约团队</w:t>
              <w:br/>
              <w:t>备份：线上运营团队、尼泊尔销售与收款主体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F03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批次与有效期</w:t>
              <w:br/>
              <w:t>批次、入库、生产、到期、数量和去向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复核：中国产品供应方、尼泊尔进口主体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缺失将导致批次与有效期无法进入正式使用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</w:t>
              <w:br/>
              <w:t>备份：中国产品供应方、尼泊尔进口主体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F04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配送范围</w:t>
              <w:br/>
              <w:t>可送城市、禁送区域、地址条件和第三方覆盖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提供：尼泊尔仓储与履约团队、第三方物流</w:t>
              <w:br/>
              <w:t>复核：尼泊尔销售与收款主体、线上运营团队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缺失将导致配送范围无法进入正式使用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主责：尼泊尔仓储与履约团队、第三方物流</w:t>
              <w:br/>
              <w:t>备份：尼泊尔销售与收款主体、线上运营团队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F05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截单与送达时效</w:t>
              <w:br/>
              <w:t>每日截单、配送时段、预计送达、节假日安排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提供：尼泊尔仓储与履约团队、第三方物流</w:t>
              <w:br/>
              <w:t>复核：线上运营团队、尼泊尔销售与收款主体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缺失将导致截单与送达时效无法进入正式使用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主责：尼泊尔仓储与履约团队、第三方物流</w:t>
              <w:br/>
              <w:t>备份：线上运营团队、尼泊尔销售与收款主体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F06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每日处理上限</w:t>
              <w:br/>
              <w:t>订单上限、峰值安排、人员、车辆和仓库限制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</w:t>
              <w:br/>
              <w:t>复核：尼泊尔销售与收款主体、线上运营团队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缺失将导致每日处理上限无法进入正式使用</w:t>
              <w:br/>
              <w:t>等级：P1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</w:t>
              <w:br/>
              <w:t>备份：尼泊尔销售与收款主体、线上运营团队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F07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库存履约</w:t>
              <w:br/>
              <w:t>订单与配送状态</w:t>
              <w:br/>
              <w:t>待确认、已付款、已出库、配送中、已签收、异常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提供：尼泊尔仓储与履约团队、尼泊尔销售与收款主体</w:t>
              <w:br/>
              <w:t>复核：线上运营团队、AI系统与技术执行方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更新：实时或高频；每日汇总</w:t>
              <w:br/>
              <w:t>有效：超过当日更新时间视为过期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缺失将导致订单与配送状态无法进入正式使用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主责：尼泊尔仓储与履约团队、尼泊尔销售与收款主体</w:t>
              <w:br/>
              <w:t>备份：线上运营团队、AI系统与技术执行方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G01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退款与不可退款规则</w:t>
              <w:br/>
              <w:t>适用场景、证据、时限、资金执行方和例外审批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复核：线上运营团队、尼泊尔合规顾问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缺失将导致退款与不可退款规则无法进入正式使用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备份：线上运营团队、尼泊尔合规顾问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G02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拒收、破损与缺货规则</w:t>
              <w:br/>
              <w:t>签收前后责任、照片视频、补发、退款和实物处置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提供：尼泊尔仓储与履约团队、尼泊尔销售与收款主体</w:t>
              <w:br/>
              <w:t>复核：线上运营团队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缺失将导致拒收、破损与缺货规则无法进入正式使用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主责：尼泊尔仓储与履约团队、尼泊尔销售与收款主体</w:t>
              <w:br/>
              <w:t>备份：线上运营团队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G03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食品变质、融化与重量争议</w:t>
              <w:br/>
              <w:t>判定标准、温控、裹冰、净重、调查与赔付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提供：中国产品供应方、尼泊尔仓储与履约团队</w:t>
              <w:br/>
              <w:t>复核：尼泊尔进口主体、尼泊尔销售与收款主体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缺失将导致食品变质、融化与重量争议无法进入正式使用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主责：中国产品供应方、尼泊尔仓储与履约团队</w:t>
              <w:br/>
              <w:t>备份：尼泊尔进口主体、尼泊尔销售与收款主体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G04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酒类破损与疑似假货</w:t>
              <w:br/>
              <w:t>批次、防伪、隔离、调查、退款和品牌升级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提供：汾酒品牌授权方、中国产品供应方、尼泊尔仓储与履约团队</w:t>
              <w:br/>
              <w:t>复核：尼泊尔销售与收款主体、线上运营团队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缺失将导致酒类破损与疑似假货无法进入正式使用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主责：汾酒品牌授权方、中国产品供应方、尼泊尔仓储与履约团队</w:t>
              <w:br/>
              <w:t>备份：尼泊尔销售与收款主体、线上运营团队</w:t>
            </w:r>
          </w:p>
        </w:tc>
      </w:tr>
      <w:tr>
        <w:tc>
          <w:tcPr>
            <w:tcW w:type="dxa" w:w="55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G05</w:t>
            </w:r>
          </w:p>
        </w:tc>
        <w:tc>
          <w:tcPr>
            <w:tcW w:type="dxa" w:w="22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召回与重大事件</w:t>
              <w:br/>
              <w:t>触发、批次定位、通知、停售、退款、报告和复盘</w:t>
            </w:r>
          </w:p>
        </w:tc>
        <w:tc>
          <w:tcPr>
            <w:tcW w:type="dxa" w:w="141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提供：中国产品供应方、尼泊尔进口主体、尼泊尔仓储与履约团队</w:t>
              <w:br/>
              <w:t>复核：尼泊尔合规顾问、尼泊尔销售与收款主体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缺失将导致召回与重大事件无法进入正式使用</w:t>
              <w:br/>
              <w:t>等级：P0</w:t>
            </w:r>
          </w:p>
        </w:tc>
        <w:tc>
          <w:tcPr>
            <w:tcW w:type="dxa" w:w="14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主责：中国产品供应方、尼泊尔进口主体、尼泊尔仓储与履约团队</w:t>
              <w:br/>
              <w:t>备份：尼泊尔合规顾问、尼泊尔销售与收款主体</w:t>
            </w:r>
          </w:p>
        </w:tc>
      </w:tr>
      <w:tr>
        <w:tc>
          <w:tcPr>
            <w:tcW w:type="dxa" w:w="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G06</w:t>
            </w:r>
          </w:p>
        </w:tc>
        <w:tc>
          <w:tcPr>
            <w:tcW w:type="dxa" w:w="2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售后</w:t>
              <w:br/>
              <w:t>赔付上限与审批</w:t>
              <w:br/>
              <w:t>不同情形的上限、审批层级、付款和留痕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提供：尼泊尔销售与收款主体</w:t>
              <w:br/>
              <w:t>复核：尼泊尔合规顾问、线上运营团队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填写本DOCX登记表；证书或原件另附PDF/JPG；如已有系统可另附CSV/JSON导出</w:t>
              <w:br/>
              <w:t>范围：逐商品；首批SKU优先</w:t>
            </w:r>
          </w:p>
        </w:tc>
        <w:tc>
          <w:tcPr>
            <w:tcW w:type="dxa" w:w="16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首次：收到本清单后7个自然日内；P0最迟在任何公开销售前</w:t>
              <w:br/>
              <w:t>更新：上线前；规则变化时；每季度演练</w:t>
              <w:br/>
              <w:t>有效：以当前批准版本为准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名称、主体、适用商品、日期、版本一致；责任方签字；可回到原件</w:t>
            </w:r>
          </w:p>
        </w:tc>
        <w:tc>
          <w:tcPr>
            <w:tcW w:type="dxa" w:w="11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全部相关线上渠道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通过后可读；原始证件仅限授权人员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缺失将导致赔付上限与审批无法进入正式使用</w:t>
              <w:br/>
              <w:t>等级：P0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一般变更生效前2个工作日；合规、质量、停售和召回立即通知</w:t>
              <w:br/>
              <w:t>主责：尼泊尔销售与收款主体</w:t>
              <w:br/>
              <w:t>备份：尼泊尔合规顾问、线上运营团队</w:t>
            </w:r>
          </w:p>
        </w:tc>
      </w:tr>
    </w:tbl>
    <w:p>
      <w:pPr>
        <w:spacing w:after="40"/>
      </w:pPr>
    </w:p>
    <w:p>
      <w:pPr>
        <w:pStyle w:val="Heading1"/>
      </w:pPr>
      <w:r>
        <w:t>验收与退回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83"/>
        <w:gridCol w:w="8773"/>
      </w:tblGrid>
      <w:tr>
        <w:trPr>
          <w:tblHeader w:val="true"/>
        </w:trPr>
        <w:tc>
          <w:tcPr>
            <w:tcW w:type="dxa" w:w="54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退回原因</w:t>
            </w:r>
          </w:p>
        </w:tc>
        <w:tc>
          <w:tcPr>
            <w:tcW w:type="dxa" w:w="87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5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看不出适用商品</w:t>
            </w:r>
          </w:p>
        </w:tc>
        <w:tc>
          <w:tcPr>
            <w:tcW w:type="dxa" w:w="8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补充SKU编号和包装版本</w:t>
            </w:r>
          </w:p>
        </w:tc>
      </w:tr>
      <w:tr>
        <w:tc>
          <w:tcPr>
            <w:tcW w:type="dxa" w:w="54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只有扫描件，没有登记信息</w:t>
            </w:r>
          </w:p>
        </w:tc>
        <w:tc>
          <w:tcPr>
            <w:tcW w:type="dxa" w:w="87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补充文件编号、日期、有效期、主体和保管人</w:t>
            </w:r>
          </w:p>
        </w:tc>
      </w:tr>
      <w:tr>
        <w:tc>
          <w:tcPr>
            <w:tcW w:type="dxa" w:w="5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与实物或其他资料冲突</w:t>
            </w:r>
          </w:p>
        </w:tc>
        <w:tc>
          <w:tcPr>
            <w:tcW w:type="dxa" w:w="8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暂停使用，责任方书面说明并提交新版本</w:t>
            </w:r>
          </w:p>
        </w:tc>
      </w:tr>
      <w:tr>
        <w:tc>
          <w:tcPr>
            <w:tcW w:type="dxa" w:w="54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已过期或无续期安排</w:t>
            </w:r>
          </w:p>
        </w:tc>
        <w:tc>
          <w:tcPr>
            <w:tcW w:type="dxa" w:w="87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自动降级为阻断</w:t>
            </w:r>
          </w:p>
        </w:tc>
      </w:tr>
      <w:tr>
        <w:tc>
          <w:tcPr>
            <w:tcW w:type="dxa" w:w="5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只在聊天中口头确认</w:t>
            </w:r>
          </w:p>
        </w:tc>
        <w:tc>
          <w:tcPr>
            <w:tcW w:type="dxa" w:w="8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在本DOCX登记并由责任方确认后再使用</w:t>
            </w:r>
          </w:p>
        </w:tc>
      </w:tr>
      <w:tr>
        <w:tc>
          <w:tcPr>
            <w:tcW w:type="dxa" w:w="54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价格、库存或配送没有更新时间</w:t>
            </w:r>
          </w:p>
        </w:tc>
        <w:tc>
          <w:tcPr>
            <w:tcW w:type="dxa" w:w="87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视为过期，AI不得读取</w:t>
            </w:r>
          </w:p>
        </w:tc>
      </w:tr>
    </w:tbl>
    <w:p>
      <w:pPr>
        <w:spacing w:after="40"/>
      </w:pPr>
    </w:p>
    <w:p>
      <w:pPr>
        <w:pStyle w:val="Heading1"/>
      </w:pPr>
      <w:r>
        <w:t>P0立即阻断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阻断规则  </w:t>
      </w:r>
      <w:r>
        <w:rPr>
          <w:rFonts w:ascii="Hiragino Sans GB" w:hAnsi="Hiragino Sans GB" w:eastAsia="Hiragino Sans GB"/>
          <w:color w:val="1F2937"/>
          <w:sz w:val="21"/>
        </w:rPr>
        <w:t>无合法主体、无授权、来源不明、许可不明、标签未确认、实物不一致、无价格、无库存、无配送、无售后责任、收款主体不明、酒类平台资格未确认、海鲜食品状态不明或产品与履约团队拒绝承担质量责任时，不得正式成交。</w:t>
      </w:r>
    </w:p>
    <w:p>
      <w:pPr>
        <w:pStyle w:val="Heading1"/>
      </w:pPr>
      <w:r>
        <w:t>双方确认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61"/>
        <w:gridCol w:w="3180"/>
        <w:gridCol w:w="2632"/>
        <w:gridCol w:w="3180"/>
        <w:gridCol w:w="2303"/>
      </w:tblGrid>
      <w:tr>
        <w:trPr>
          <w:tblHeader w:val="true"/>
        </w:trPr>
        <w:tc>
          <w:tcPr>
            <w:tcW w:type="dxa" w:w="29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31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230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04_供应链资料交付总清单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