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产品主数据模板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一行一个数据项，逐SKU填写，不允许用聊天记录代替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填写说明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商品主数据模板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版本与批准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缺失处理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填写说明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用法  </w:t>
      </w:r>
      <w:r>
        <w:rPr>
          <w:rFonts w:ascii="Hiragino Sans GB" w:hAnsi="Hiragino Sans GB" w:eastAsia="Hiragino Sans GB"/>
          <w:color w:val="1F2937"/>
          <w:sz w:val="21"/>
        </w:rPr>
        <w:t>复制本表为每个SKU建立一份商品资料。酒类与海鲜共用基础部分，品类不适用的数据项写“不适用”，不能留空或凭估算补齐。</w:t>
      </w:r>
    </w:p>
    <w:p>
      <w:pPr>
        <w:pStyle w:val="Heading1"/>
      </w:pPr>
      <w:r>
        <w:t>商品主数据模板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44"/>
        <w:gridCol w:w="1426"/>
        <w:gridCol w:w="2045"/>
        <w:gridCol w:w="1488"/>
        <w:gridCol w:w="620"/>
        <w:gridCol w:w="1488"/>
        <w:gridCol w:w="1488"/>
        <w:gridCol w:w="930"/>
        <w:gridCol w:w="992"/>
        <w:gridCol w:w="1550"/>
        <w:gridCol w:w="1485"/>
      </w:tblGrid>
      <w:tr>
        <w:trPr>
          <w:tblHeader w:val="true"/>
        </w:trPr>
        <w:tc>
          <w:tcPr>
            <w:tcW w:type="dxa" w:w="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分组</w:t>
            </w:r>
          </w:p>
        </w:tc>
        <w:tc>
          <w:tcPr>
            <w:tcW w:type="dxa" w:w="14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数据项</w:t>
            </w:r>
          </w:p>
        </w:tc>
        <w:tc>
          <w:tcPr>
            <w:tcW w:type="dxa" w:w="204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填写说明</w:t>
            </w:r>
          </w:p>
        </w:tc>
        <w:tc>
          <w:tcPr>
            <w:tcW w:type="dxa" w:w="14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示例</w:t>
            </w:r>
          </w:p>
        </w:tc>
        <w:tc>
          <w:tcPr>
            <w:tcW w:type="dxa" w:w="6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必填</w:t>
            </w:r>
          </w:p>
        </w:tc>
        <w:tc>
          <w:tcPr>
            <w:tcW w:type="dxa" w:w="14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提供</w:t>
            </w:r>
          </w:p>
        </w:tc>
        <w:tc>
          <w:tcPr>
            <w:tcW w:type="dxa" w:w="14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复核</w:t>
            </w:r>
          </w:p>
        </w:tc>
        <w:tc>
          <w:tcPr>
            <w:tcW w:type="dxa" w:w="93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更新</w:t>
            </w:r>
          </w:p>
        </w:tc>
        <w:tc>
          <w:tcPr>
            <w:tcW w:type="dxa" w:w="9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AI读取</w:t>
            </w:r>
          </w:p>
        </w:tc>
        <w:tc>
          <w:tcPr>
            <w:tcW w:type="dxa" w:w="15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缺失影响</w:t>
            </w:r>
          </w:p>
        </w:tc>
        <w:tc>
          <w:tcPr>
            <w:tcW w:type="dxa" w:w="14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填写值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SKU编号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每个实物版本唯一编号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FJ-475-A / SF-SHR-001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中文名称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与供应合同和包装一致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青花系列／冷冻白虾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英文名称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用于商品页和单证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Frozen White Shrimp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尼泊尔销售名称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由当地团队确认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品牌与系列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品牌、系列、子系列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汾酒／海鲜品牌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品类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酒类、鱼、虾、蟹、贝或加工品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虾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身份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科学名称或香型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海鲜填科学名称；酒类填香型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Litopenaeus vannamei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按品类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单件规格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容量、只数、重量区间或型号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500ml／30-40只每公斤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净重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不含外包装，说明裹冰口径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800g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毛重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含单件包装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900g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外箱信息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每箱件数、尺寸、毛重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10袋/箱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规格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条码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单品与外箱条码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有则必填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原产地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国家、省市或海域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生产商或加工厂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正式登记名称与地址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捕捞或养殖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仅海鲜填写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养殖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海鲜必填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生制、熟制与调味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仅海鲜填写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生制未调味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海鲜必填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成分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原料与添加剂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按包装和检测资料填写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成分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过敏提示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鱼、甲壳类、贝类等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含甲壳类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海鲜必填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成分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酒精度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按包装和检测资料填写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酒类必填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裹冰比例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海鲜需说明测量口径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海鲜必填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批次/变更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解冻后重量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实测范围和方法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海鲜必填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批次/变更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可食用比例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去壳、去骨或处理后估算及依据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批次/变更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质量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批次编号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与库存、检测、召回关联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LOT-202607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每批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储存温度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仓储和运输要求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-18°C以下（示例，待确认）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保质期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生产日起算及未开封条件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储存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解冻或开封后要求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方法、时长、是否可再次冷冻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按品类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海关编码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由当地进口方逐项确认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适用许可与检测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关联文件编号和有效期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到期/变更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合规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标签版本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关联批准稿与实物照片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LBL-v1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真实图片路径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正面、背面、标签、外箱、细节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真实视频路径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开箱、解冻、倒酒或仓库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待提供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建议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批准卖点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每条有正式依据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待审核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上架状态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按统一状态标签填写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待审核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销售状态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可报价、可成交、暂停等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阻断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实时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销售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适用渠道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B2B、B2C、TikTok内容等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变更时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当前版本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版本号与生效日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v1 / 2026-07-27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每次变更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最后更新时间</w:t>
            </w:r>
          </w:p>
        </w:tc>
        <w:tc>
          <w:tcPr>
            <w:tcW w:type="dxa" w:w="2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以当地时区记录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2026-07-27 18:00</w:t>
            </w:r>
          </w:p>
        </w:tc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每次变更</w:t>
            </w:r>
          </w:p>
        </w:tc>
        <w:tc>
          <w:tcPr>
            <w:tcW w:type="dxa" w:w="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治理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批准人</w:t>
            </w:r>
          </w:p>
        </w:tc>
        <w:tc>
          <w:tcPr>
            <w:tcW w:type="dxa" w:w="204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对真实性最终负责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待填写</w:t>
            </w:r>
          </w:p>
        </w:tc>
        <w:tc>
          <w:tcPr>
            <w:tcW w:type="dxa" w:w="6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是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中国产品供应方；当地名称由尼泊尔销售主体</w:t>
            </w:r>
          </w:p>
        </w:tc>
        <w:tc>
          <w:tcPr>
            <w:tcW w:type="dxa" w:w="14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线上运营团队、尼泊尔进口主体</w:t>
            </w:r>
          </w:p>
        </w:tc>
        <w:tc>
          <w:tcPr>
            <w:tcW w:type="dxa" w:w="9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每次变更</w:t>
            </w:r>
          </w:p>
        </w:tc>
        <w:tc>
          <w:tcPr>
            <w:tcW w:type="dxa" w:w="9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审核通过后可读</w:t>
            </w:r>
          </w:p>
        </w:tc>
        <w:tc>
          <w:tcPr>
            <w:tcW w:type="dxa" w:w="15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缺失则阻断相关内容、报价、上架或履约</w:t>
            </w:r>
          </w:p>
        </w:tc>
        <w:tc>
          <w:tcPr>
            <w:tcW w:type="dxa" w:w="14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版本与批准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0"/>
        <w:gridCol w:w="1462"/>
        <w:gridCol w:w="2559"/>
        <w:gridCol w:w="2193"/>
        <w:gridCol w:w="2193"/>
        <w:gridCol w:w="2193"/>
        <w:gridCol w:w="1646"/>
      </w:tblGrid>
      <w:tr>
        <w:trPr>
          <w:tblHeader w:val="true"/>
        </w:trPr>
        <w:tc>
          <w:tcPr>
            <w:tcW w:type="dxa" w:w="20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SKU编号</w:t>
            </w:r>
          </w:p>
        </w:tc>
        <w:tc>
          <w:tcPr>
            <w:tcW w:type="dxa" w:w="14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当前版本</w:t>
            </w:r>
          </w:p>
        </w:tc>
        <w:tc>
          <w:tcPr>
            <w:tcW w:type="dxa" w:w="255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生效时间</w:t>
            </w:r>
          </w:p>
        </w:tc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提供负责人</w:t>
            </w:r>
          </w:p>
        </w:tc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复核负责人</w:t>
            </w:r>
          </w:p>
        </w:tc>
        <w:tc>
          <w:tcPr>
            <w:tcW w:type="dxa" w:w="219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最终批准</w:t>
            </w:r>
          </w:p>
        </w:tc>
        <w:tc>
          <w:tcPr>
            <w:tcW w:type="dxa" w:w="16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v____</w:t>
            </w:r>
          </w:p>
        </w:tc>
        <w:tc>
          <w:tcPr>
            <w:tcW w:type="dxa" w:w="2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 __:__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1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</w:tbl>
    <w:p>
      <w:pPr>
        <w:spacing w:after="40"/>
      </w:pPr>
    </w:p>
    <w:p>
      <w:pPr>
        <w:pStyle w:val="Heading1"/>
      </w:pPr>
      <w:r>
        <w:t>缺失处理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41"/>
        <w:gridCol w:w="8115"/>
      </w:tblGrid>
      <w:tr>
        <w:trPr>
          <w:tblHeader w:val="true"/>
        </w:trPr>
        <w:tc>
          <w:tcPr>
            <w:tcW w:type="dxa" w:w="614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缺失类型</w:t>
            </w:r>
          </w:p>
        </w:tc>
        <w:tc>
          <w:tcPr>
            <w:tcW w:type="dxa" w:w="81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系统处理</w:t>
            </w:r>
          </w:p>
        </w:tc>
      </w:tr>
      <w:tr>
        <w:tc>
          <w:tcPr>
            <w:tcW w:type="dxa" w:w="6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名称、规格、净重、酒精度或物种缺失</w:t>
            </w:r>
          </w:p>
        </w:tc>
        <w:tc>
          <w:tcPr>
            <w:tcW w:type="dxa" w:w="8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不得制作销售内容或上架</w:t>
            </w:r>
          </w:p>
        </w:tc>
      </w:tr>
      <w:tr>
        <w:tc>
          <w:tcPr>
            <w:tcW w:type="dxa" w:w="61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海关编码、许可或标签缺失</w:t>
            </w:r>
          </w:p>
        </w:tc>
        <w:tc>
          <w:tcPr>
            <w:tcW w:type="dxa" w:w="81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不得进口或销售</w:t>
            </w:r>
          </w:p>
        </w:tc>
      </w:tr>
      <w:tr>
        <w:tc>
          <w:tcPr>
            <w:tcW w:type="dxa" w:w="6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价格、库存或配送缺失</w:t>
            </w:r>
          </w:p>
        </w:tc>
        <w:tc>
          <w:tcPr>
            <w:tcW w:type="dxa" w:w="8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不得报价、收款或承诺时效</w:t>
            </w:r>
          </w:p>
        </w:tc>
      </w:tr>
      <w:tr>
        <w:tc>
          <w:tcPr>
            <w:tcW w:type="dxa" w:w="61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批次、保质期或温控缺失</w:t>
            </w:r>
          </w:p>
        </w:tc>
        <w:tc>
          <w:tcPr>
            <w:tcW w:type="dxa" w:w="81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不得出库</w:t>
            </w:r>
          </w:p>
        </w:tc>
      </w:tr>
      <w:tr>
        <w:tc>
          <w:tcPr>
            <w:tcW w:type="dxa" w:w="61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图片与实物不一致</w:t>
            </w:r>
          </w:p>
        </w:tc>
        <w:tc>
          <w:tcPr>
            <w:tcW w:type="dxa" w:w="8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暂停内容和商品页</w:t>
            </w:r>
          </w:p>
        </w:tc>
      </w:tr>
    </w:tbl>
    <w:p>
      <w:pPr>
        <w:spacing w:after="40"/>
      </w:pPr>
    </w:p>
    <w:p>
      <w:pPr>
        <w:pStyle w:val="Heading1"/>
      </w:pPr>
      <w:r>
        <w:t>商品资料确认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07_产品主数据模板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