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价格与商务政策模板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供货、B2B、B2C、样品、配送和合作佣金的批准版本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填写说明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价格与商务政策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变更记录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报价批准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填写说明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价格原则  </w:t>
      </w:r>
      <w:r>
        <w:rPr>
          <w:rFonts w:ascii="Hiragino Sans GB" w:hAnsi="Hiragino Sans GB" w:eastAsia="Hiragino Sans GB"/>
          <w:color w:val="1F2937"/>
          <w:sz w:val="21"/>
        </w:rPr>
        <w:t>任何价格都必须同时写明币种、计价单位、税费、配送、有效期和批准人。没有有效期的价格视为不可用；AI不得从聊天记录引用临时报价。</w:t>
      </w:r>
    </w:p>
    <w:p>
      <w:pPr>
        <w:pStyle w:val="Heading1"/>
      </w:pPr>
      <w:r>
        <w:t>价格与商务政策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251"/>
        <w:gridCol w:w="1938"/>
        <w:gridCol w:w="1313"/>
        <w:gridCol w:w="1313"/>
        <w:gridCol w:w="1188"/>
        <w:gridCol w:w="813"/>
        <w:gridCol w:w="1063"/>
        <w:gridCol w:w="1501"/>
        <w:gridCol w:w="938"/>
        <w:gridCol w:w="625"/>
        <w:gridCol w:w="1563"/>
      </w:tblGrid>
      <w:tr>
        <w:trPr>
          <w:tblHeader w:val="true"/>
        </w:trPr>
        <w:tc>
          <w:tcPr>
            <w:tcW w:type="dxa" w:w="7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分组</w:t>
            </w:r>
          </w:p>
        </w:tc>
        <w:tc>
          <w:tcPr>
            <w:tcW w:type="dxa" w:w="125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价格项</w:t>
            </w:r>
          </w:p>
        </w:tc>
        <w:tc>
          <w:tcPr>
            <w:tcW w:type="dxa" w:w="193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说明</w:t>
            </w:r>
          </w:p>
        </w:tc>
        <w:tc>
          <w:tcPr>
            <w:tcW w:type="dxa" w:w="131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提供</w:t>
            </w:r>
          </w:p>
        </w:tc>
        <w:tc>
          <w:tcPr>
            <w:tcW w:type="dxa" w:w="131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复核</w:t>
            </w:r>
          </w:p>
        </w:tc>
        <w:tc>
          <w:tcPr>
            <w:tcW w:type="dxa" w:w="11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SKU/范围</w:t>
            </w:r>
          </w:p>
        </w:tc>
        <w:tc>
          <w:tcPr>
            <w:tcW w:type="dxa" w:w="81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币种</w:t>
            </w:r>
          </w:p>
        </w:tc>
        <w:tc>
          <w:tcPr>
            <w:tcW w:type="dxa" w:w="10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金额/比例</w:t>
            </w:r>
          </w:p>
        </w:tc>
        <w:tc>
          <w:tcPr>
            <w:tcW w:type="dxa" w:w="150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有效期</w:t>
            </w:r>
          </w:p>
        </w:tc>
        <w:tc>
          <w:tcPr>
            <w:tcW w:type="dxa" w:w="93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状态</w:t>
            </w:r>
          </w:p>
        </w:tc>
        <w:tc>
          <w:tcPr>
            <w:tcW w:type="dxa" w:w="6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阻断</w:t>
            </w:r>
          </w:p>
        </w:tc>
        <w:tc>
          <w:tcPr>
            <w:tcW w:type="dxa" w:w="15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缺失影响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供货</w:t>
            </w:r>
          </w:p>
        </w:tc>
        <w:tc>
          <w:tcPr>
            <w:tcW w:type="dxa" w:w="1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中国供货价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币种、计价单位、税费、贸易条件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尼泊尔销售与收款主体、线上运营团队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供货</w:t>
            </w:r>
          </w:p>
        </w:tc>
        <w:tc>
          <w:tcPr>
            <w:tcW w:type="dxa" w:w="125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尼泊尔到岸成本</w:t>
            </w:r>
          </w:p>
        </w:tc>
        <w:tc>
          <w:tcPr>
            <w:tcW w:type="dxa" w:w="1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货值、运费、保险、关税、税费和代理费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尼泊尔进口主体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尼泊尔销售与收款主体、线上运营团队</w:t>
            </w:r>
          </w:p>
        </w:tc>
        <w:tc>
          <w:tcPr>
            <w:tcW w:type="dxa" w:w="11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5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供货</w:t>
            </w:r>
          </w:p>
        </w:tc>
        <w:tc>
          <w:tcPr>
            <w:tcW w:type="dxa" w:w="1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仓储与配送成本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入库、仓储、拣货、低温、配送和退货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尼泊尔销售与收款主体、线上运营团队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</w:t>
            </w:r>
          </w:p>
        </w:tc>
        <w:tc>
          <w:tcPr>
            <w:tcW w:type="dxa" w:w="125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基础批发价</w:t>
            </w:r>
          </w:p>
        </w:tc>
        <w:tc>
          <w:tcPr>
            <w:tcW w:type="dxa" w:w="1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最低订货量、是否含税与配送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中国产品供应方、尼泊尔销售与收款主体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</w:t>
            </w:r>
          </w:p>
        </w:tc>
        <w:tc>
          <w:tcPr>
            <w:tcW w:type="dxa" w:w="11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5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</w:t>
            </w:r>
          </w:p>
        </w:tc>
        <w:tc>
          <w:tcPr>
            <w:tcW w:type="dxa" w:w="1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阶梯价1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数量区间、价格、有效期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中国产品供应方、尼泊尔销售与收款主体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</w:t>
            </w:r>
          </w:p>
        </w:tc>
        <w:tc>
          <w:tcPr>
            <w:tcW w:type="dxa" w:w="125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阶梯价2</w:t>
            </w:r>
          </w:p>
        </w:tc>
        <w:tc>
          <w:tcPr>
            <w:tcW w:type="dxa" w:w="1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数量区间、价格、有效期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中国产品供应方、尼泊尔销售与收款主体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</w:t>
            </w:r>
          </w:p>
        </w:tc>
        <w:tc>
          <w:tcPr>
            <w:tcW w:type="dxa" w:w="11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5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</w:t>
            </w:r>
          </w:p>
        </w:tc>
        <w:tc>
          <w:tcPr>
            <w:tcW w:type="dxa" w:w="1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酒店餐厅价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规格、配送、样品和回款条件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</w:t>
            </w:r>
          </w:p>
        </w:tc>
        <w:tc>
          <w:tcPr>
            <w:tcW w:type="dxa" w:w="125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经销价</w:t>
            </w:r>
          </w:p>
        </w:tc>
        <w:tc>
          <w:tcPr>
            <w:tcW w:type="dxa" w:w="1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区域、最低量、返点和防串货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线上运营团队、尼泊尔合规顾问</w:t>
            </w:r>
          </w:p>
        </w:tc>
        <w:tc>
          <w:tcPr>
            <w:tcW w:type="dxa" w:w="11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5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</w:t>
            </w:r>
          </w:p>
        </w:tc>
        <w:tc>
          <w:tcPr>
            <w:tcW w:type="dxa" w:w="1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账期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天数、额度、批准人和逾期处理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</w:t>
            </w:r>
          </w:p>
        </w:tc>
        <w:tc>
          <w:tcPr>
            <w:tcW w:type="dxa" w:w="125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大额订单政策</w:t>
            </w:r>
          </w:p>
        </w:tc>
        <w:tc>
          <w:tcPr>
            <w:tcW w:type="dxa" w:w="1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折扣、预付款、锁库存和例外审批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中国产品供应方、尼泊尔仓储与履约团队</w:t>
            </w:r>
          </w:p>
        </w:tc>
        <w:tc>
          <w:tcPr>
            <w:tcW w:type="dxa" w:w="11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5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B2C</w:t>
            </w:r>
          </w:p>
        </w:tc>
        <w:tc>
          <w:tcPr>
            <w:tcW w:type="dxa" w:w="1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建议零售价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币种、税、配送和渠道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中国产品供应方、线上运营团队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B2C</w:t>
            </w:r>
          </w:p>
        </w:tc>
        <w:tc>
          <w:tcPr>
            <w:tcW w:type="dxa" w:w="125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平台售价</w:t>
            </w:r>
          </w:p>
        </w:tc>
        <w:tc>
          <w:tcPr>
            <w:tcW w:type="dxa" w:w="1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渠道费用、日常价和生效期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</w:t>
            </w:r>
          </w:p>
        </w:tc>
        <w:tc>
          <w:tcPr>
            <w:tcW w:type="dxa" w:w="11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5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B2C</w:t>
            </w:r>
          </w:p>
        </w:tc>
        <w:tc>
          <w:tcPr>
            <w:tcW w:type="dxa" w:w="1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促销底价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最低允许价、批准人和适用期间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中国产品供应方、线上运营团队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合作</w:t>
            </w:r>
          </w:p>
        </w:tc>
        <w:tc>
          <w:tcPr>
            <w:tcW w:type="dxa" w:w="125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达人佣金</w:t>
            </w:r>
          </w:p>
        </w:tc>
        <w:tc>
          <w:tcPr>
            <w:tcW w:type="dxa" w:w="1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比例、结算、退单和内容要求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线上运营团队、尼泊尔合规顾问</w:t>
            </w:r>
          </w:p>
        </w:tc>
        <w:tc>
          <w:tcPr>
            <w:tcW w:type="dxa" w:w="11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5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合作</w:t>
            </w:r>
          </w:p>
        </w:tc>
        <w:tc>
          <w:tcPr>
            <w:tcW w:type="dxa" w:w="1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联盟佣金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归因、结算周期、退货扣回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样品</w:t>
            </w:r>
          </w:p>
        </w:tc>
        <w:tc>
          <w:tcPr>
            <w:tcW w:type="dxa" w:w="125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样品价</w:t>
            </w:r>
          </w:p>
        </w:tc>
        <w:tc>
          <w:tcPr>
            <w:tcW w:type="dxa" w:w="1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免费或收费、数量、运费和审批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中国产品供应方、尼泊尔销售与收款主体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</w:t>
            </w:r>
          </w:p>
        </w:tc>
        <w:tc>
          <w:tcPr>
            <w:tcW w:type="dxa" w:w="11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5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</w:t>
            </w:r>
          </w:p>
        </w:tc>
        <w:tc>
          <w:tcPr>
            <w:tcW w:type="dxa" w:w="1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配送费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区域、重量、时段和低温附加费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尼泊尔仓储与履约团队、尼泊尔销售与收款主体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</w:t>
            </w:r>
          </w:p>
        </w:tc>
        <w:tc>
          <w:tcPr>
            <w:tcW w:type="dxa" w:w="125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免运门槛</w:t>
            </w:r>
          </w:p>
        </w:tc>
        <w:tc>
          <w:tcPr>
            <w:tcW w:type="dxa" w:w="1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金额、重量、区域和活动期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尼泊尔仓储与履约团队、线上运营团队</w:t>
            </w:r>
          </w:p>
        </w:tc>
        <w:tc>
          <w:tcPr>
            <w:tcW w:type="dxa" w:w="11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5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治理</w:t>
            </w:r>
          </w:p>
        </w:tc>
        <w:tc>
          <w:tcPr>
            <w:tcW w:type="dxa" w:w="1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报价有效期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开始、结束、自动失效和续批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线上运营团队、AI系统与技术执行方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  <w:tr>
        <w:tc>
          <w:tcPr>
            <w:tcW w:type="dxa" w:w="7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治理</w:t>
            </w:r>
          </w:p>
        </w:tc>
        <w:tc>
          <w:tcPr>
            <w:tcW w:type="dxa" w:w="125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价格变更通知</w:t>
            </w:r>
          </w:p>
        </w:tc>
        <w:tc>
          <w:tcPr>
            <w:tcW w:type="dxa" w:w="1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原值、新值、生效、受影响商品和渠道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中国产品供应方、尼泊尔销售与收款主体</w:t>
            </w:r>
          </w:p>
        </w:tc>
        <w:tc>
          <w:tcPr>
            <w:tcW w:type="dxa" w:w="13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线上运营团队、AI系统与技术执行方</w:t>
            </w:r>
          </w:p>
        </w:tc>
        <w:tc>
          <w:tcPr>
            <w:tcW w:type="dxa" w:w="11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8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NPR / CNY / USD</w:t>
            </w:r>
          </w:p>
        </w:tc>
        <w:tc>
          <w:tcPr>
            <w:tcW w:type="dxa" w:w="10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  <w:tc>
          <w:tcPr>
            <w:tcW w:type="dxa" w:w="15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____年__月__日至____年__月__日</w:t>
            </w:r>
          </w:p>
        </w:tc>
        <w:tc>
          <w:tcPr>
            <w:tcW w:type="dxa" w:w="9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5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缺失或过期则停止正式报价</w:t>
            </w:r>
          </w:p>
        </w:tc>
      </w:tr>
    </w:tbl>
    <w:p>
      <w:pPr>
        <w:spacing w:after="40"/>
      </w:pPr>
    </w:p>
    <w:p>
      <w:pPr>
        <w:pStyle w:val="Heading1"/>
      </w:pPr>
      <w:r>
        <w:t>变更记录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77"/>
        <w:gridCol w:w="1525"/>
        <w:gridCol w:w="1448"/>
        <w:gridCol w:w="1448"/>
        <w:gridCol w:w="1677"/>
        <w:gridCol w:w="1677"/>
        <w:gridCol w:w="2058"/>
        <w:gridCol w:w="1372"/>
        <w:gridCol w:w="1374"/>
      </w:tblGrid>
      <w:tr>
        <w:trPr>
          <w:tblHeader w:val="true"/>
        </w:trPr>
        <w:tc>
          <w:tcPr>
            <w:tcW w:type="dxa" w:w="167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变更时间</w:t>
            </w:r>
          </w:p>
        </w:tc>
        <w:tc>
          <w:tcPr>
            <w:tcW w:type="dxa" w:w="15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SKU/范围</w:t>
            </w:r>
          </w:p>
        </w:tc>
        <w:tc>
          <w:tcPr>
            <w:tcW w:type="dxa" w:w="14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原值</w:t>
            </w:r>
          </w:p>
        </w:tc>
        <w:tc>
          <w:tcPr>
            <w:tcW w:type="dxa" w:w="14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新值</w:t>
            </w:r>
          </w:p>
        </w:tc>
        <w:tc>
          <w:tcPr>
            <w:tcW w:type="dxa" w:w="167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生效时间</w:t>
            </w:r>
          </w:p>
        </w:tc>
        <w:tc>
          <w:tcPr>
            <w:tcW w:type="dxa" w:w="167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影响渠道</w:t>
            </w:r>
          </w:p>
        </w:tc>
        <w:tc>
          <w:tcPr>
            <w:tcW w:type="dxa" w:w="205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需要下架/改内容</w:t>
            </w:r>
          </w:p>
        </w:tc>
        <w:tc>
          <w:tcPr>
            <w:tcW w:type="dxa" w:w="13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操作人</w:t>
            </w:r>
          </w:p>
        </w:tc>
        <w:tc>
          <w:tcPr>
            <w:tcW w:type="dxa" w:w="137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批准人</w:t>
            </w:r>
          </w:p>
        </w:tc>
      </w:tr>
      <w:t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2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是 / 否</w:t>
            </w:r>
          </w:p>
        </w:tc>
        <w:tc>
          <w:tcPr>
            <w:tcW w:type="dxa" w:w="1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报价批准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74"/>
        <w:gridCol w:w="2419"/>
        <w:gridCol w:w="1382"/>
        <w:gridCol w:w="2592"/>
        <w:gridCol w:w="2074"/>
        <w:gridCol w:w="1814"/>
        <w:gridCol w:w="1901"/>
      </w:tblGrid>
      <w:tr>
        <w:trPr>
          <w:tblHeader w:val="true"/>
        </w:trPr>
        <w:tc>
          <w:tcPr>
            <w:tcW w:type="dxa" w:w="207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报价对象</w:t>
            </w:r>
          </w:p>
        </w:tc>
        <w:tc>
          <w:tcPr>
            <w:tcW w:type="dxa" w:w="241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SKU与数量</w:t>
            </w:r>
          </w:p>
        </w:tc>
        <w:tc>
          <w:tcPr>
            <w:tcW w:type="dxa" w:w="138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价格版本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库存确认时间</w:t>
            </w:r>
          </w:p>
        </w:tc>
        <w:tc>
          <w:tcPr>
            <w:tcW w:type="dxa" w:w="207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配送确认</w:t>
            </w:r>
          </w:p>
        </w:tc>
        <w:tc>
          <w:tcPr>
            <w:tcW w:type="dxa" w:w="18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批准人</w:t>
            </w:r>
          </w:p>
        </w:tc>
        <w:tc>
          <w:tcPr>
            <w:tcW w:type="dxa" w:w="190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报价有效期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v____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 __:__</w:t>
            </w:r>
          </w:p>
        </w:tc>
        <w:tc>
          <w:tcPr>
            <w:tcW w:type="dxa" w:w="2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已确认 / 未确认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双方确认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08_价格与商务政策模板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