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库存_配送_订单状态数据模板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把在库、可售、锁定、在途、配送、订单和退款分开记录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填写说明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库存配送订单状态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同步规则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异常回退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填写说明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实时性  </w:t>
      </w:r>
      <w:r>
        <w:rPr>
          <w:rFonts w:ascii="Hiragino Sans GB" w:hAnsi="Hiragino Sans GB" w:eastAsia="Hiragino Sans GB"/>
          <w:color w:val="1F2937"/>
          <w:sz w:val="21"/>
        </w:rPr>
        <w:t>“实物库存”不等于“可售库存”。可售量必须扣除锁定、预留、临期、隔离和异常批次。库存和订单状态没有更新时间时，AI不得作销售承诺。</w:t>
      </w:r>
    </w:p>
    <w:p>
      <w:pPr>
        <w:pStyle w:val="Heading1"/>
      </w:pPr>
      <w:r>
        <w:t>库存配送订单状态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79"/>
        <w:gridCol w:w="1419"/>
        <w:gridCol w:w="2037"/>
        <w:gridCol w:w="1419"/>
        <w:gridCol w:w="1049"/>
        <w:gridCol w:w="1296"/>
        <w:gridCol w:w="1234"/>
        <w:gridCol w:w="926"/>
        <w:gridCol w:w="926"/>
        <w:gridCol w:w="1728"/>
        <w:gridCol w:w="1543"/>
      </w:tblGrid>
      <w:tr>
        <w:trPr>
          <w:tblHeader w:val="true"/>
        </w:trPr>
        <w:tc>
          <w:tcPr>
            <w:tcW w:type="dxa" w:w="67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分组</w:t>
            </w:r>
          </w:p>
        </w:tc>
        <w:tc>
          <w:tcPr>
            <w:tcW w:type="dxa" w:w="14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数据项</w:t>
            </w:r>
          </w:p>
        </w:tc>
        <w:tc>
          <w:tcPr>
            <w:tcW w:type="dxa" w:w="20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填写说明</w:t>
            </w:r>
          </w:p>
        </w:tc>
        <w:tc>
          <w:tcPr>
            <w:tcW w:type="dxa" w:w="14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更新方</w:t>
            </w:r>
          </w:p>
        </w:tc>
        <w:tc>
          <w:tcPr>
            <w:tcW w:type="dxa" w:w="10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频率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SKU/订单</w:t>
            </w:r>
          </w:p>
        </w:tc>
        <w:tc>
          <w:tcPr>
            <w:tcW w:type="dxa" w:w="12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当前值</w:t>
            </w:r>
          </w:p>
        </w:tc>
        <w:tc>
          <w:tcPr>
            <w:tcW w:type="dxa" w:w="92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状态</w:t>
            </w:r>
          </w:p>
        </w:tc>
        <w:tc>
          <w:tcPr>
            <w:tcW w:type="dxa" w:w="92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AI读取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缺失影响</w:t>
            </w:r>
          </w:p>
        </w:tc>
        <w:tc>
          <w:tcPr>
            <w:tcW w:type="dxa" w:w="154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更新时间/人员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实物库存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仓库实际数量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每次入出库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可售库存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扣除锁定、预留和异常后的数量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实时/高频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锁定库存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已下单未出库数量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B2B预留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给已批准订单或合同预留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尼泊尔仓储与履约团队、尼泊尔销售与收款主体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B2C预留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给线上销售预留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尼泊尔仓储与履约团队、尼泊尔销售与收款主体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在途库存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预计到仓时间和可信度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中国产品供应方、尼泊尔进口主体、尼泊尔仓储与履约团队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临期库存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批次、数量、到期和处理决定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缺货与停售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原因、开始、预计恢复和替代品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补货计划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数量、节点、风险和批准人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中国产品供应方、尼泊尔进口主体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每日/变更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可送城市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当前稳定服务的城市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尼泊尔仓储与履约团队、第三方物流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每日/变更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禁送区域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无法服务或需特别批准的区域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尼泊尔仓储与履约团队、第三方物流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截单时间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当日出库的最晚下单时间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配送时段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工作日、周末和节假日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尼泊尔仓储与履约团队、第三方物流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配送费用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区域、重量、时段和低温费用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尼泊尔仓储与履约团队、尼泊尔销售与收款主体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预计送达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按城市和下单时点给出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尼泊尔仓储与履约团队、第三方物流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每日/变更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每日处理上限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仓库、人员、车辆和订单上限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订单编号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唯一编号，关联付款、库存和配送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尼泊尔销售与收款主体、AI系统与技术执行方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订单状态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待确认、已付款、已出库、配送中、完成、取消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付款状态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待付、已付、失败、已退款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尼泊尔销售与收款主体、支付服务机构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库存锁定状态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锁定、释放、扣减和异常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尼泊尔仓储与履约团队、AI系统与技术执行方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出库状态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待拣货、已拣货、已出库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配送状态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待取、运输中、送达、拒收、异常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第三方物流、尼泊尔仓储与履约团队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售后状态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待受理、调查、补发、退款、关闭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尼泊尔销售与收款主体、线上运营团队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退款状态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待批、已批、处理中、完成、失败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尼泊尔销售与收款主体、支付服务机构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批次隔离状态</w:t>
            </w:r>
          </w:p>
        </w:tc>
        <w:tc>
          <w:tcPr>
            <w:tcW w:type="dxa" w:w="2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正常、观察、隔离、召回、销毁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尼泊尔仓储与履约团队、尼泊尔进口主体</w:t>
            </w:r>
          </w:p>
        </w:tc>
        <w:tc>
          <w:tcPr>
            <w:tcW w:type="dxa" w:w="1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立即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6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治理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最后更新时间与负责人</w:t>
            </w:r>
          </w:p>
        </w:tc>
        <w:tc>
          <w:tcPr>
            <w:tcW w:type="dxa" w:w="20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每次变化均记录人员和时间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AI系统与技术执行方、尼泊尔仓储与履约团队</w:t>
            </w:r>
          </w:p>
        </w:tc>
        <w:tc>
          <w:tcPr>
            <w:tcW w:type="dxa" w:w="1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每次变更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2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9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是（通过后）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缺失则转人工并关闭对应自动承诺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同步规则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5"/>
        <w:gridCol w:w="7347"/>
        <w:gridCol w:w="2742"/>
        <w:gridCol w:w="2412"/>
      </w:tblGrid>
      <w:tr>
        <w:trPr>
          <w:tblHeader w:val="true"/>
        </w:trPr>
        <w:tc>
          <w:tcPr>
            <w:tcW w:type="dxa" w:w="17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73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同步内容</w:t>
            </w:r>
          </w:p>
        </w:tc>
        <w:tc>
          <w:tcPr>
            <w:tcW w:type="dxa" w:w="274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目标频率</w:t>
            </w:r>
          </w:p>
        </w:tc>
        <w:tc>
          <w:tcPr>
            <w:tcW w:type="dxa" w:w="24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超时处理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7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可售库存、缺货、紧急价格、配送异常、订单、停售、许可失效、召回</w:t>
            </w:r>
          </w:p>
        </w:tc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实时或15分钟内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立即停止自动承诺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73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入库、出库、在途、临期、配送能力、售后、退款</w:t>
            </w:r>
          </w:p>
        </w:tc>
        <w:tc>
          <w:tcPr>
            <w:tcW w:type="dxa" w:w="27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每日/节点后15分钟</w:t>
            </w:r>
          </w:p>
        </w:tc>
        <w:tc>
          <w:tcPr>
            <w:tcW w:type="dxa" w:w="24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通知负责人并转人工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P2</w:t>
            </w:r>
          </w:p>
        </w:tc>
        <w:tc>
          <w:tcPr>
            <w:tcW w:type="dxa" w:w="7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商品资料、活动、达人政策、素材、FAQ</w:t>
            </w:r>
          </w:p>
        </w:tc>
        <w:tc>
          <w:tcPr>
            <w:tcW w:type="dxa" w:w="2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每周或变更时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保留旧版本并标过期</w:t>
            </w:r>
          </w:p>
        </w:tc>
      </w:tr>
    </w:tbl>
    <w:p>
      <w:pPr>
        <w:spacing w:after="40"/>
      </w:pPr>
    </w:p>
    <w:p>
      <w:pPr>
        <w:pStyle w:val="Heading1"/>
      </w:pPr>
      <w:r>
        <w:t>异常回退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9"/>
        <w:gridCol w:w="5373"/>
        <w:gridCol w:w="5374"/>
      </w:tblGrid>
      <w:tr>
        <w:trPr>
          <w:tblHeader w:val="true"/>
        </w:trPr>
        <w:tc>
          <w:tcPr>
            <w:tcW w:type="dxa" w:w="350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53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537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人工动作</w:t>
            </w:r>
          </w:p>
        </w:tc>
      </w:tr>
      <w:tr>
        <w:tc>
          <w:tcPr>
            <w:tcW w:type="dxa" w:w="3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库存冲突</w:t>
            </w:r>
          </w:p>
        </w:tc>
        <w:tc>
          <w:tcPr>
            <w:tcW w:type="dxa" w:w="5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采用更保守值并告警</w:t>
            </w:r>
          </w:p>
        </w:tc>
        <w:tc>
          <w:tcPr>
            <w:tcW w:type="dxa" w:w="5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仓库15分钟内确认</w:t>
            </w:r>
          </w:p>
        </w:tc>
      </w:tr>
      <w:tr>
        <w:tc>
          <w:tcPr>
            <w:tcW w:type="dxa" w:w="350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价格过期</w:t>
            </w:r>
          </w:p>
        </w:tc>
        <w:tc>
          <w:tcPr>
            <w:tcW w:type="dxa" w:w="5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停止正式报价</w:t>
            </w:r>
          </w:p>
        </w:tc>
        <w:tc>
          <w:tcPr>
            <w:tcW w:type="dxa" w:w="537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销售主体重新批准</w:t>
            </w:r>
          </w:p>
        </w:tc>
      </w:tr>
      <w:tr>
        <w:tc>
          <w:tcPr>
            <w:tcW w:type="dxa" w:w="3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配送状态停滞</w:t>
            </w:r>
          </w:p>
        </w:tc>
        <w:tc>
          <w:tcPr>
            <w:tcW w:type="dxa" w:w="5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显示处理中，不承诺到达</w:t>
            </w:r>
          </w:p>
        </w:tc>
        <w:tc>
          <w:tcPr>
            <w:tcW w:type="dxa" w:w="5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物流与仓库调查</w:t>
            </w:r>
          </w:p>
        </w:tc>
      </w:tr>
      <w:tr>
        <w:tc>
          <w:tcPr>
            <w:tcW w:type="dxa" w:w="350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支付失败</w:t>
            </w:r>
          </w:p>
        </w:tc>
        <w:tc>
          <w:tcPr>
            <w:tcW w:type="dxa" w:w="5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不出库、不扣减最终库存</w:t>
            </w:r>
          </w:p>
        </w:tc>
        <w:tc>
          <w:tcPr>
            <w:tcW w:type="dxa" w:w="537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财务对账</w:t>
            </w:r>
          </w:p>
        </w:tc>
      </w:tr>
      <w:tr>
        <w:tc>
          <w:tcPr>
            <w:tcW w:type="dxa" w:w="3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批次隔离或召回</w:t>
            </w:r>
          </w:p>
        </w:tc>
        <w:tc>
          <w:tcPr>
            <w:tcW w:type="dxa" w:w="5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关闭相关SKU和内容</w:t>
            </w:r>
          </w:p>
        </w:tc>
        <w:tc>
          <w:tcPr>
            <w:tcW w:type="dxa" w:w="5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进口与质量负责人处置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09_库存_配送_订单状态数据模板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