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合规资质与授权文件索引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每份文件关联具体商品、主体、国家、渠道、有效期和原件保管人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填写说明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合规与授权索引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公开与访问权限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到期提醒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填写说明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证据规则  </w:t>
      </w:r>
      <w:r>
        <w:rPr>
          <w:rFonts w:ascii="Hiragino Sans GB" w:hAnsi="Hiragino Sans GB" w:eastAsia="Hiragino Sans GB"/>
          <w:color w:val="1F2937"/>
          <w:sz w:val="21"/>
        </w:rPr>
        <w:t>证书扫描件可以作为附件，但必须在本表登记。没有适用商品、主体、日期、有效期和原件保管人的文件，不进入可用事实源。</w:t>
      </w:r>
    </w:p>
    <w:p>
      <w:pPr>
        <w:pStyle w:val="Heading1"/>
      </w:pPr>
      <w:r>
        <w:t>合规与授权索引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7"/>
        <w:gridCol w:w="1414"/>
        <w:gridCol w:w="1473"/>
        <w:gridCol w:w="1060"/>
        <w:gridCol w:w="1060"/>
        <w:gridCol w:w="1060"/>
        <w:gridCol w:w="1296"/>
        <w:gridCol w:w="943"/>
        <w:gridCol w:w="943"/>
        <w:gridCol w:w="884"/>
        <w:gridCol w:w="1237"/>
        <w:gridCol w:w="1355"/>
        <w:gridCol w:w="824"/>
      </w:tblGrid>
      <w:tr>
        <w:trPr>
          <w:tblHeader w:val="true"/>
        </w:trPr>
        <w:tc>
          <w:tcPr>
            <w:tcW w:type="dxa" w:w="70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类别</w:t>
            </w:r>
          </w:p>
        </w:tc>
        <w:tc>
          <w:tcPr>
            <w:tcW w:type="dxa" w:w="14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文件</w:t>
            </w:r>
          </w:p>
        </w:tc>
        <w:tc>
          <w:tcPr>
            <w:tcW w:type="dxa" w:w="14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适用商品/范围</w:t>
            </w:r>
          </w:p>
        </w:tc>
        <w:tc>
          <w:tcPr>
            <w:tcW w:type="dxa" w:w="10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提供</w:t>
            </w:r>
          </w:p>
        </w:tc>
        <w:tc>
          <w:tcPr>
            <w:tcW w:type="dxa" w:w="10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复核</w:t>
            </w:r>
          </w:p>
        </w:tc>
        <w:tc>
          <w:tcPr>
            <w:tcW w:type="dxa" w:w="10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文件编号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机构</w:t>
            </w:r>
          </w:p>
        </w:tc>
        <w:tc>
          <w:tcPr>
            <w:tcW w:type="dxa" w:w="94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出具日</w:t>
            </w:r>
          </w:p>
        </w:tc>
        <w:tc>
          <w:tcPr>
            <w:tcW w:type="dxa" w:w="94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到期日</w:t>
            </w:r>
          </w:p>
        </w:tc>
        <w:tc>
          <w:tcPr>
            <w:tcW w:type="dxa" w:w="8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国家</w:t>
            </w:r>
          </w:p>
        </w:tc>
        <w:tc>
          <w:tcPr>
            <w:tcW w:type="dxa" w:w="12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可见范围</w:t>
            </w:r>
          </w:p>
        </w:tc>
        <w:tc>
          <w:tcPr>
            <w:tcW w:type="dxa" w:w="13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路径/保管人</w:t>
            </w:r>
          </w:p>
        </w:tc>
        <w:tc>
          <w:tcPr>
            <w:tcW w:type="dxa" w:w="8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状态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主体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中国供应企业登记文件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全部商品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中国产品供应方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主体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尼泊尔进口主体与EXIM Code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进口商品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主体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本地销售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品牌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尼泊尔地区品牌授权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汾酒及品牌海鲜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汾酒品牌授权方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品牌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线上、广告、达人和AI改编授权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相关内容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汾酒品牌授权方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线上运营团队、尼泊尔合规顾问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酒类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酒类进口许可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逐SKU/批次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酒类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酒类销售与消费税许可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销售地点和模式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酒类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完税与消费税标识证明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逐批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尼泊尔进口主体、尼泊尔销售与收款主体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酒类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网络销售与配送书面意见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线上路径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酒类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广告与普通内容书面意见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逐内容类型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食品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DFTQC进口许可或预审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逐SKU/批次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食品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卫生、检验或检疫证明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逐SKU/批次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中国产品供应方、尼泊尔进口主体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食品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原产地与生产商证明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逐SKU/批次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中国产品供应方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食品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过敏提示与成分依据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逐SKU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中国产品供应方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标签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批准标签稿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逐SKU/包装版本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尼泊尔进口主体、中国产品供应方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标签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实物包装照片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逐SKU/批次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尼泊尔仓储与履约团队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线上运营团队、尼泊尔进口主体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企业账户或受管制行业授权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TikTok账号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平台与广告账户主体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尼泊尔销售与收款主体、尼泊尔合规顾问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广告账户与行业审核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广告账户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平台与广告账户主体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尼泊尔销售与收款主体、尼泊尔合规顾问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Shop、LIVE、外链后台测试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实际账号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平台与广告账户主体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线上运营团队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支付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收款机构协议与结算账户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销售主体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尼泊尔销售与收款主体、支付服务机构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履约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仓储、冷链与物流服务合同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适用商品与区域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尼泊尔仓储与履约团队、第三方物流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尼泊尔进口主体、尼泊尔销售与收款主体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  <w:tr>
        <w:tc>
          <w:tcPr>
            <w:tcW w:type="dxa" w:w="7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治理</w:t>
            </w:r>
          </w:p>
        </w:tc>
        <w:tc>
          <w:tcPr>
            <w:tcW w:type="dxa" w:w="14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到期与续期记录</w:t>
            </w:r>
          </w:p>
        </w:tc>
        <w:tc>
          <w:tcPr>
            <w:tcW w:type="dxa" w:w="1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全部文件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尼泊尔合规顾问、AI系统与技术执行方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尼泊尔进口主体、尼泊尔销售与收款主体</w:t>
            </w:r>
          </w:p>
        </w:tc>
        <w:tc>
          <w:tcPr>
            <w:tcW w:type="dxa" w:w="1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____年__月__日</w:t>
            </w:r>
          </w:p>
        </w:tc>
        <w:tc>
          <w:tcPr>
            <w:tcW w:type="dxa" w:w="8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尼泊尔/相关国家</w:t>
            </w:r>
          </w:p>
        </w:tc>
        <w:tc>
          <w:tcPr>
            <w:tcW w:type="dxa" w:w="12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 / 仅平台 / 仅内部</w:t>
            </w:r>
          </w:p>
        </w:tc>
        <w:tc>
          <w:tcPr>
            <w:tcW w:type="dxa" w:w="13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________________</w:t>
            </w:r>
          </w:p>
        </w:tc>
        <w:tc>
          <w:tcPr>
            <w:tcW w:type="dxa" w:w="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待提供</w:t>
            </w:r>
          </w:p>
        </w:tc>
      </w:tr>
    </w:tbl>
    <w:p>
      <w:pPr>
        <w:spacing w:after="40"/>
      </w:pPr>
    </w:p>
    <w:p>
      <w:pPr>
        <w:pStyle w:val="Heading1"/>
      </w:pPr>
      <w:r>
        <w:t>公开与访问权限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41"/>
        <w:gridCol w:w="1901"/>
        <w:gridCol w:w="2281"/>
        <w:gridCol w:w="1901"/>
        <w:gridCol w:w="1901"/>
        <w:gridCol w:w="3231"/>
      </w:tblGrid>
      <w:tr>
        <w:trPr>
          <w:tblHeader w:val="true"/>
        </w:trPr>
        <w:tc>
          <w:tcPr>
            <w:tcW w:type="dxa" w:w="304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资料类型</w:t>
            </w:r>
          </w:p>
        </w:tc>
        <w:tc>
          <w:tcPr>
            <w:tcW w:type="dxa" w:w="19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商品页可见</w:t>
            </w:r>
          </w:p>
        </w:tc>
        <w:tc>
          <w:tcPr>
            <w:tcW w:type="dxa" w:w="228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可给采购单位</w:t>
            </w:r>
          </w:p>
        </w:tc>
        <w:tc>
          <w:tcPr>
            <w:tcW w:type="dxa" w:w="19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可给平台</w:t>
            </w:r>
          </w:p>
        </w:tc>
        <w:tc>
          <w:tcPr>
            <w:tcW w:type="dxa" w:w="19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AI读取</w:t>
            </w:r>
          </w:p>
        </w:tc>
        <w:tc>
          <w:tcPr>
            <w:tcW w:type="dxa" w:w="32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主体公开登记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摘要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按需要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是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摘要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隐藏证件号码和非必要个人资料</w:t>
            </w:r>
          </w:p>
        </w:tc>
      </w:tr>
      <w:tr>
        <w:tc>
          <w:tcPr>
            <w:tcW w:type="dxa" w:w="30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品牌授权</w:t>
            </w:r>
          </w:p>
        </w:tc>
        <w:tc>
          <w:tcPr>
            <w:tcW w:type="dxa" w:w="19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授权身份摘要</w:t>
            </w:r>
          </w:p>
        </w:tc>
        <w:tc>
          <w:tcPr>
            <w:tcW w:type="dxa" w:w="22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按需要</w:t>
            </w:r>
          </w:p>
        </w:tc>
        <w:tc>
          <w:tcPr>
            <w:tcW w:type="dxa" w:w="19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是</w:t>
            </w:r>
          </w:p>
        </w:tc>
        <w:tc>
          <w:tcPr>
            <w:tcW w:type="dxa" w:w="19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摘要</w:t>
            </w:r>
          </w:p>
        </w:tc>
        <w:tc>
          <w:tcPr>
            <w:tcW w:type="dxa" w:w="32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完整文件限授权人员</w:t>
            </w:r>
          </w:p>
        </w:tc>
      </w:tr>
      <w:tr>
        <w:tc>
          <w:tcPr>
            <w:tcW w:type="dxa" w:w="3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许可与检测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编号/摘要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按业务需要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是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结构化摘要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原件不直接开放</w:t>
            </w:r>
          </w:p>
        </w:tc>
      </w:tr>
      <w:tr>
        <w:tc>
          <w:tcPr>
            <w:tcW w:type="dxa" w:w="30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价格与库存</w:t>
            </w:r>
          </w:p>
        </w:tc>
        <w:tc>
          <w:tcPr>
            <w:tcW w:type="dxa" w:w="19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按渠道</w:t>
            </w:r>
          </w:p>
        </w:tc>
        <w:tc>
          <w:tcPr>
            <w:tcW w:type="dxa" w:w="22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按权限</w:t>
            </w:r>
          </w:p>
        </w:tc>
        <w:tc>
          <w:tcPr>
            <w:tcW w:type="dxa" w:w="19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按需要</w:t>
            </w:r>
          </w:p>
        </w:tc>
        <w:tc>
          <w:tcPr>
            <w:tcW w:type="dxa" w:w="19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当前版本</w:t>
            </w:r>
          </w:p>
        </w:tc>
        <w:tc>
          <w:tcPr>
            <w:tcW w:type="dxa" w:w="32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不得跨渠道泄露底价</w:t>
            </w:r>
          </w:p>
        </w:tc>
      </w:tr>
      <w:tr>
        <w:tc>
          <w:tcPr>
            <w:tcW w:type="dxa" w:w="3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账号凭据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否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否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否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否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只在密码管理系统保存</w:t>
            </w:r>
          </w:p>
        </w:tc>
      </w:tr>
    </w:tbl>
    <w:p>
      <w:pPr>
        <w:spacing w:after="40"/>
      </w:pPr>
    </w:p>
    <w:p>
      <w:pPr>
        <w:pStyle w:val="Heading1"/>
      </w:pPr>
      <w:r>
        <w:t>到期提醒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1"/>
        <w:gridCol w:w="11185"/>
      </w:tblGrid>
      <w:tr>
        <w:trPr>
          <w:tblHeader w:val="true"/>
        </w:trPr>
        <w:tc>
          <w:tcPr>
            <w:tcW w:type="dxa" w:w="307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提醒时点</w:t>
            </w:r>
          </w:p>
        </w:tc>
        <w:tc>
          <w:tcPr>
            <w:tcW w:type="dxa" w:w="1118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动作</w:t>
            </w:r>
          </w:p>
        </w:tc>
      </w:tr>
      <w:tr>
        <w:tc>
          <w:tcPr>
            <w:tcW w:type="dxa" w:w="3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到期前90日</w:t>
            </w:r>
          </w:p>
        </w:tc>
        <w:tc>
          <w:tcPr>
            <w:tcW w:type="dxa" w:w="1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确认是否续期、责任人和所需资料</w:t>
            </w:r>
          </w:p>
        </w:tc>
      </w:tr>
      <w:tr>
        <w:tc>
          <w:tcPr>
            <w:tcW w:type="dxa" w:w="30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到期前60日</w:t>
            </w:r>
          </w:p>
        </w:tc>
        <w:tc>
          <w:tcPr>
            <w:tcW w:type="dxa" w:w="111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发出正式提醒；如无计划，标记高风险</w:t>
            </w:r>
          </w:p>
        </w:tc>
      </w:tr>
      <w:tr>
        <w:tc>
          <w:tcPr>
            <w:tcW w:type="dxa" w:w="3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到期前30日</w:t>
            </w:r>
          </w:p>
        </w:tc>
        <w:tc>
          <w:tcPr>
            <w:tcW w:type="dxa" w:w="1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停止新增长期承诺和跨期投放</w:t>
            </w:r>
          </w:p>
        </w:tc>
      </w:tr>
      <w:tr>
        <w:tc>
          <w:tcPr>
            <w:tcW w:type="dxa" w:w="30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到期前7日</w:t>
            </w:r>
          </w:p>
        </w:tc>
        <w:tc>
          <w:tcPr>
            <w:tcW w:type="dxa" w:w="111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准备下架、停投和通知</w:t>
            </w:r>
          </w:p>
        </w:tc>
      </w:tr>
      <w:tr>
        <w:tc>
          <w:tcPr>
            <w:tcW w:type="dxa" w:w="3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到期日</w:t>
            </w:r>
          </w:p>
        </w:tc>
        <w:tc>
          <w:tcPr>
            <w:tcW w:type="dxa" w:w="1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自动降级为阻断，直到新文件通过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10_合规资质与授权文件索引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