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</w:pPr>
      <w:r>
        <w:rPr>
          <w:rFonts w:ascii="Hiragino Sans GB" w:hAnsi="Hiragino Sans GB" w:eastAsia="Hiragino Sans GB"/>
          <w:b/>
          <w:color w:val="1F4D78"/>
          <w:sz w:val="46"/>
        </w:rPr>
        <w:t>内容事实库与禁止表达库</w:t>
      </w:r>
    </w:p>
    <w:p>
      <w:pPr>
        <w:spacing w:after="400"/>
      </w:pPr>
      <w:r>
        <w:rPr>
          <w:rFonts w:ascii="Hiragino Sans GB" w:hAnsi="Hiragino Sans GB" w:eastAsia="Hiragino Sans GB"/>
          <w:color w:val="667085"/>
          <w:sz w:val="24"/>
        </w:rPr>
        <w:t>每个宣传点有来源；没有依据的说法不进入脚本、字幕、画面或回复</w:t>
      </w:r>
    </w:p>
    <w:p>
      <w:pPr>
        <w:spacing w:after="320"/>
      </w:pPr>
      <w:r>
        <w:rPr>
          <w:rFonts w:ascii="Hiragino Sans GB" w:hAnsi="Hiragino Sans GB" w:eastAsia="Hiragino Sans GB"/>
          <w:b/>
          <w:color w:val="1F2937"/>
          <w:sz w:val="18"/>
        </w:rPr>
        <w:t>核验日期：</w:t>
      </w:r>
      <w:r>
        <w:rPr>
          <w:rFonts w:ascii="Hiragino Sans GB" w:hAnsi="Hiragino Sans GB" w:eastAsia="Hiragino Sans GB"/>
          <w:color w:val="667085"/>
          <w:sz w:val="18"/>
        </w:rPr>
        <w:t>2026-07-27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当前状态：</w:t>
      </w:r>
      <w:r>
        <w:rPr>
          <w:rFonts w:ascii="Hiragino Sans GB" w:hAnsi="Hiragino Sans GB" w:eastAsia="Hiragino Sans GB"/>
          <w:color w:val="667085"/>
          <w:sz w:val="18"/>
        </w:rPr>
        <w:t>部分完成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判断方式：</w:t>
      </w:r>
      <w:r>
        <w:rPr>
          <w:rFonts w:ascii="Hiragino Sans GB" w:hAnsi="Hiragino Sans GB" w:eastAsia="Hiragino Sans GB"/>
          <w:color w:val="667085"/>
          <w:sz w:val="18"/>
        </w:rPr>
        <w:t>已确认 / 部分成立 / 待验证 / 推测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版本：</w:t>
      </w:r>
      <w:r>
        <w:rPr>
          <w:rFonts w:ascii="Hiragino Sans GB" w:hAnsi="Hiragino Sans GB" w:eastAsia="Hiragino Sans GB"/>
          <w:color w:val="667085"/>
          <w:sz w:val="18"/>
        </w:rPr>
        <w:t>v1.0 合作确认稿</w:t>
        <w:br/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使用提醒  </w:t>
      </w:r>
      <w:r>
        <w:rPr>
          <w:rFonts w:ascii="Hiragino Sans GB" w:hAnsi="Hiragino Sans GB" w:eastAsia="Hiragino Sans GB"/>
          <w:color w:val="1F2937"/>
          <w:sz w:val="21"/>
        </w:rPr>
        <w:t>本文件用于责任确认、资料准备和上线判断。未取得真实资料、当地专业意见或平台后台结果的事项，均保持待确认，不作为正式销售承诺。</w:t>
      </w:r>
    </w:p>
    <w:p>
      <w:r>
        <w:br w:type="page"/>
      </w:r>
    </w:p>
    <w:p>
      <w:pPr>
        <w:pStyle w:val="Heading1"/>
      </w:pPr>
      <w:r>
        <w:t>阅读目录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35"/>
        <w:gridCol w:w="12721"/>
      </w:tblGrid>
      <w:tr>
        <w:trPr>
          <w:tblHeader w:val="true"/>
        </w:trPr>
        <w:tc>
          <w:tcPr>
            <w:tcW w:type="dxa" w:w="15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1272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内容事实库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禁止表达库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AI画面与实拍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发布审批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来源</w:t>
            </w:r>
          </w:p>
        </w:tc>
      </w:tr>
    </w:tbl>
    <w:p>
      <w:pPr>
        <w:spacing w:after="40"/>
      </w:pPr>
    </w:p>
    <w:p>
      <w:r>
        <w:rPr>
          <w:rFonts w:ascii="Hiragino Sans GB" w:hAnsi="Hiragino Sans GB" w:eastAsia="Hiragino Sans GB"/>
          <w:b/>
          <w:color w:val="667085"/>
          <w:sz w:val="18"/>
        </w:rPr>
        <w:t>可更新目录：</w:t>
      </w:r>
      <w:r>
        <w:fldChar w:fldCharType="begin"/>
        <w:instrText xml:space="preserve">TOC \o "1-3" \h \z \u</w:instrText>
        <w:fldChar w:fldCharType="separate"/>
        <w:t>在 Word/WPS 中更新目录</w:t>
        <w:fldChar w:fldCharType="end"/>
      </w:r>
    </w:p>
    <w:p>
      <w:pPr>
        <w:pStyle w:val="Heading1"/>
      </w:pPr>
      <w:r>
        <w:t>内容事实库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46"/>
        <w:gridCol w:w="2292"/>
        <w:gridCol w:w="2006"/>
        <w:gridCol w:w="1504"/>
        <w:gridCol w:w="931"/>
        <w:gridCol w:w="2436"/>
        <w:gridCol w:w="1934"/>
        <w:gridCol w:w="931"/>
        <w:gridCol w:w="1076"/>
      </w:tblGrid>
      <w:tr>
        <w:trPr>
          <w:tblHeader w:val="true"/>
        </w:trPr>
        <w:tc>
          <w:tcPr>
            <w:tcW w:type="dxa" w:w="114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类别</w:t>
            </w:r>
          </w:p>
        </w:tc>
        <w:tc>
          <w:tcPr>
            <w:tcW w:type="dxa" w:w="229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允许使用的事实</w:t>
            </w:r>
          </w:p>
        </w:tc>
        <w:tc>
          <w:tcPr>
            <w:tcW w:type="dxa" w:w="200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证明</w:t>
            </w:r>
          </w:p>
        </w:tc>
        <w:tc>
          <w:tcPr>
            <w:tcW w:type="dxa" w:w="150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最终确认</w:t>
            </w:r>
          </w:p>
        </w:tc>
        <w:tc>
          <w:tcPr>
            <w:tcW w:type="dxa" w:w="93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优先级</w:t>
            </w:r>
          </w:p>
        </w:tc>
        <w:tc>
          <w:tcPr>
            <w:tcW w:type="dxa" w:w="243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具体内容</w:t>
            </w:r>
          </w:p>
        </w:tc>
        <w:tc>
          <w:tcPr>
            <w:tcW w:type="dxa" w:w="193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来源编号/路径</w:t>
            </w:r>
          </w:p>
        </w:tc>
        <w:tc>
          <w:tcPr>
            <w:tcW w:type="dxa" w:w="93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版本</w:t>
            </w:r>
          </w:p>
        </w:tc>
        <w:tc>
          <w:tcPr>
            <w:tcW w:type="dxa" w:w="107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状态</w:t>
            </w:r>
          </w:p>
        </w:tc>
      </w:tr>
      <w:tr>
        <w:tc>
          <w:tcPr>
            <w:tcW w:type="dxa" w:w="11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品牌身份</w:t>
            </w:r>
          </w:p>
        </w:tc>
        <w:tc>
          <w:tcPr>
            <w:tcW w:type="dxa" w:w="22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品牌名称、商标和尼泊尔授权身份</w:t>
            </w:r>
          </w:p>
        </w:tc>
        <w:tc>
          <w:tcPr>
            <w:tcW w:type="dxa" w:w="20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授权书与商标资料</w:t>
            </w:r>
          </w:p>
        </w:tc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汾酒品牌授权方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9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v____</w:t>
            </w:r>
          </w:p>
        </w:tc>
        <w:tc>
          <w:tcPr>
            <w:tcW w:type="dxa" w:w="10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</w:tr>
      <w:tr>
        <w:tc>
          <w:tcPr>
            <w:tcW w:type="dxa" w:w="114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品牌历史</w:t>
            </w:r>
          </w:p>
        </w:tc>
        <w:tc>
          <w:tcPr>
            <w:tcW w:type="dxa" w:w="22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可公开的年份、事件和表述</w:t>
            </w:r>
          </w:p>
        </w:tc>
        <w:tc>
          <w:tcPr>
            <w:tcW w:type="dxa" w:w="200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品牌官方资料</w:t>
            </w:r>
          </w:p>
        </w:tc>
        <w:tc>
          <w:tcPr>
            <w:tcW w:type="dxa" w:w="150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汾酒品牌授权方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P1</w:t>
            </w:r>
          </w:p>
        </w:tc>
        <w:tc>
          <w:tcPr>
            <w:tcW w:type="dxa" w:w="24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9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v____</w:t>
            </w:r>
          </w:p>
        </w:tc>
        <w:tc>
          <w:tcPr>
            <w:tcW w:type="dxa" w:w="10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</w:tr>
      <w:tr>
        <w:tc>
          <w:tcPr>
            <w:tcW w:type="dxa" w:w="11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产区与工艺</w:t>
            </w:r>
          </w:p>
        </w:tc>
        <w:tc>
          <w:tcPr>
            <w:tcW w:type="dxa" w:w="22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产区、原料、香型或加工方式</w:t>
            </w:r>
          </w:p>
        </w:tc>
        <w:tc>
          <w:tcPr>
            <w:tcW w:type="dxa" w:w="20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官方产品资料</w:t>
            </w:r>
          </w:p>
        </w:tc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汾酒品牌授权方、中国产品供应方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9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v____</w:t>
            </w:r>
          </w:p>
        </w:tc>
        <w:tc>
          <w:tcPr>
            <w:tcW w:type="dxa" w:w="10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</w:tr>
      <w:tr>
        <w:tc>
          <w:tcPr>
            <w:tcW w:type="dxa" w:w="114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规格</w:t>
            </w:r>
          </w:p>
        </w:tc>
        <w:tc>
          <w:tcPr>
            <w:tcW w:type="dxa" w:w="22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酒精度、容量、净重、只数和包装</w:t>
            </w:r>
          </w:p>
        </w:tc>
        <w:tc>
          <w:tcPr>
            <w:tcW w:type="dxa" w:w="200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实物与商品主表</w:t>
            </w:r>
          </w:p>
        </w:tc>
        <w:tc>
          <w:tcPr>
            <w:tcW w:type="dxa" w:w="150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24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9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v____</w:t>
            </w:r>
          </w:p>
        </w:tc>
        <w:tc>
          <w:tcPr>
            <w:tcW w:type="dxa" w:w="10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</w:tr>
      <w:tr>
        <w:tc>
          <w:tcPr>
            <w:tcW w:type="dxa" w:w="11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食品身份</w:t>
            </w:r>
          </w:p>
        </w:tc>
        <w:tc>
          <w:tcPr>
            <w:tcW w:type="dxa" w:w="22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科学名称、捕捞/养殖、生熟与添加剂</w:t>
            </w:r>
          </w:p>
        </w:tc>
        <w:tc>
          <w:tcPr>
            <w:tcW w:type="dxa" w:w="20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供应与合规资料</w:t>
            </w:r>
          </w:p>
        </w:tc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中国产品供应方、尼泊尔进口主体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9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v____</w:t>
            </w:r>
          </w:p>
        </w:tc>
        <w:tc>
          <w:tcPr>
            <w:tcW w:type="dxa" w:w="10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</w:tr>
      <w:tr>
        <w:tc>
          <w:tcPr>
            <w:tcW w:type="dxa" w:w="114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储存</w:t>
            </w:r>
          </w:p>
        </w:tc>
        <w:tc>
          <w:tcPr>
            <w:tcW w:type="dxa" w:w="22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温度、保质期、解冻或开封后要求</w:t>
            </w:r>
          </w:p>
        </w:tc>
        <w:tc>
          <w:tcPr>
            <w:tcW w:type="dxa" w:w="200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规格书与标签</w:t>
            </w:r>
          </w:p>
        </w:tc>
        <w:tc>
          <w:tcPr>
            <w:tcW w:type="dxa" w:w="150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中国产品供应方、尼泊尔仓储与履约团队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24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9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v____</w:t>
            </w:r>
          </w:p>
        </w:tc>
        <w:tc>
          <w:tcPr>
            <w:tcW w:type="dxa" w:w="10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</w:tr>
      <w:tr>
        <w:tc>
          <w:tcPr>
            <w:tcW w:type="dxa" w:w="11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价格</w:t>
            </w:r>
          </w:p>
        </w:tc>
        <w:tc>
          <w:tcPr>
            <w:tcW w:type="dxa" w:w="22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当前批准价格、费用和有效期</w:t>
            </w:r>
          </w:p>
        </w:tc>
        <w:tc>
          <w:tcPr>
            <w:tcW w:type="dxa" w:w="20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价格批准表</w:t>
            </w:r>
          </w:p>
        </w:tc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尼泊尔销售与收款主体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9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v____</w:t>
            </w:r>
          </w:p>
        </w:tc>
        <w:tc>
          <w:tcPr>
            <w:tcW w:type="dxa" w:w="10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</w:tr>
      <w:tr>
        <w:tc>
          <w:tcPr>
            <w:tcW w:type="dxa" w:w="114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库存</w:t>
            </w:r>
          </w:p>
        </w:tc>
        <w:tc>
          <w:tcPr>
            <w:tcW w:type="dxa" w:w="22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当前可售量、缺货和补货</w:t>
            </w:r>
          </w:p>
        </w:tc>
        <w:tc>
          <w:tcPr>
            <w:tcW w:type="dxa" w:w="200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库存表</w:t>
            </w:r>
          </w:p>
        </w:tc>
        <w:tc>
          <w:tcPr>
            <w:tcW w:type="dxa" w:w="150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尼泊尔仓储与履约团队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24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9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v____</w:t>
            </w:r>
          </w:p>
        </w:tc>
        <w:tc>
          <w:tcPr>
            <w:tcW w:type="dxa" w:w="10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</w:tr>
      <w:tr>
        <w:tc>
          <w:tcPr>
            <w:tcW w:type="dxa" w:w="11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配送</w:t>
            </w:r>
          </w:p>
        </w:tc>
        <w:tc>
          <w:tcPr>
            <w:tcW w:type="dxa" w:w="22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可送区域、费用、截单和时效</w:t>
            </w:r>
          </w:p>
        </w:tc>
        <w:tc>
          <w:tcPr>
            <w:tcW w:type="dxa" w:w="20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配送规则</w:t>
            </w:r>
          </w:p>
        </w:tc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尼泊尔仓储与履约团队、第三方物流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9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v____</w:t>
            </w:r>
          </w:p>
        </w:tc>
        <w:tc>
          <w:tcPr>
            <w:tcW w:type="dxa" w:w="10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</w:tr>
      <w:tr>
        <w:tc>
          <w:tcPr>
            <w:tcW w:type="dxa" w:w="114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售后</w:t>
            </w:r>
          </w:p>
        </w:tc>
        <w:tc>
          <w:tcPr>
            <w:tcW w:type="dxa" w:w="22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退款、拒收、破损和质量规则</w:t>
            </w:r>
          </w:p>
        </w:tc>
        <w:tc>
          <w:tcPr>
            <w:tcW w:type="dxa" w:w="200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售后规则</w:t>
            </w:r>
          </w:p>
        </w:tc>
        <w:tc>
          <w:tcPr>
            <w:tcW w:type="dxa" w:w="150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尼泊尔销售与收款主体、中国产品供应方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24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9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v____</w:t>
            </w:r>
          </w:p>
        </w:tc>
        <w:tc>
          <w:tcPr>
            <w:tcW w:type="dxa" w:w="10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</w:tr>
      <w:tr>
        <w:tc>
          <w:tcPr>
            <w:tcW w:type="dxa" w:w="11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荣誉</w:t>
            </w:r>
          </w:p>
        </w:tc>
        <w:tc>
          <w:tcPr>
            <w:tcW w:type="dxa" w:w="22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可宣传荣誉及适用产品</w:t>
            </w:r>
          </w:p>
        </w:tc>
        <w:tc>
          <w:tcPr>
            <w:tcW w:type="dxa" w:w="20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正式证书或官方公告</w:t>
            </w:r>
          </w:p>
        </w:tc>
        <w:tc>
          <w:tcPr>
            <w:tcW w:type="dxa" w:w="1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汾酒品牌授权方、中国产品供应方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P1</w:t>
            </w:r>
          </w:p>
        </w:tc>
        <w:tc>
          <w:tcPr>
            <w:tcW w:type="dxa" w:w="24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9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v____</w:t>
            </w:r>
          </w:p>
        </w:tc>
        <w:tc>
          <w:tcPr>
            <w:tcW w:type="dxa" w:w="10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</w:tr>
      <w:tr>
        <w:tc>
          <w:tcPr>
            <w:tcW w:type="dxa" w:w="114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案例</w:t>
            </w:r>
          </w:p>
        </w:tc>
        <w:tc>
          <w:tcPr>
            <w:tcW w:type="dxa" w:w="22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真实合作案例与公开授权</w:t>
            </w:r>
          </w:p>
        </w:tc>
        <w:tc>
          <w:tcPr>
            <w:tcW w:type="dxa" w:w="200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协议与授权</w:t>
            </w:r>
          </w:p>
        </w:tc>
        <w:tc>
          <w:tcPr>
            <w:tcW w:type="dxa" w:w="150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中国产品供应方、尼泊尔销售与收款主体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P1</w:t>
            </w:r>
          </w:p>
        </w:tc>
        <w:tc>
          <w:tcPr>
            <w:tcW w:type="dxa" w:w="24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9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v____</w:t>
            </w:r>
          </w:p>
        </w:tc>
        <w:tc>
          <w:tcPr>
            <w:tcW w:type="dxa" w:w="10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</w:tr>
    </w:tbl>
    <w:p>
      <w:pPr>
        <w:spacing w:after="40"/>
      </w:pPr>
    </w:p>
    <w:p>
      <w:pPr>
        <w:pStyle w:val="Heading1"/>
      </w:pPr>
      <w:r>
        <w:t>禁止表达库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67"/>
        <w:gridCol w:w="3747"/>
        <w:gridCol w:w="3473"/>
        <w:gridCol w:w="2559"/>
        <w:gridCol w:w="2010"/>
      </w:tblGrid>
      <w:tr>
        <w:trPr>
          <w:tblHeader w:val="true"/>
        </w:trPr>
        <w:tc>
          <w:tcPr>
            <w:tcW w:type="dxa" w:w="246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风险表达</w:t>
            </w:r>
          </w:p>
        </w:tc>
        <w:tc>
          <w:tcPr>
            <w:tcW w:type="dxa" w:w="374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不能这样写</w:t>
            </w:r>
          </w:p>
        </w:tc>
        <w:tc>
          <w:tcPr>
            <w:tcW w:type="dxa" w:w="347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建议处理</w:t>
            </w:r>
          </w:p>
        </w:tc>
        <w:tc>
          <w:tcPr>
            <w:tcW w:type="dxa" w:w="255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适用范围</w:t>
            </w:r>
          </w:p>
        </w:tc>
        <w:tc>
          <w:tcPr>
            <w:tcW w:type="dxa" w:w="201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批准例外</w:t>
            </w:r>
          </w:p>
        </w:tc>
      </w:tr>
      <w:tr>
        <w:tc>
          <w:tcPr>
            <w:tcW w:type="dxa" w:w="24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未经证明的第一或唯一</w:t>
            </w:r>
          </w:p>
        </w:tc>
        <w:tc>
          <w:tcPr>
            <w:tcW w:type="dxa" w:w="37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例如“尼泊尔第一”“全国唯一”</w:t>
            </w:r>
          </w:p>
        </w:tc>
        <w:tc>
          <w:tcPr>
            <w:tcW w:type="dxa" w:w="3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改为可证明的具体信息</w:t>
            </w:r>
          </w:p>
        </w:tc>
        <w:tc>
          <w:tcPr>
            <w:tcW w:type="dxa" w:w="25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内容、广告、达人、直播、商品页、AI回复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无；如法律或平台有变化须重新审</w:t>
            </w:r>
          </w:p>
        </w:tc>
      </w:tr>
      <w:tr>
        <w:tc>
          <w:tcPr>
            <w:tcW w:type="dxa" w:w="246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虚假产地或工艺</w:t>
            </w:r>
          </w:p>
        </w:tc>
        <w:tc>
          <w:tcPr>
            <w:tcW w:type="dxa" w:w="37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不得把供应链未确认内容写成事实</w:t>
            </w:r>
          </w:p>
        </w:tc>
        <w:tc>
          <w:tcPr>
            <w:tcW w:type="dxa" w:w="34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回到官方产品资料</w:t>
            </w:r>
          </w:p>
        </w:tc>
        <w:tc>
          <w:tcPr>
            <w:tcW w:type="dxa" w:w="255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内容、广告、达人、直播、商品页、AI回复</w:t>
            </w:r>
          </w:p>
        </w:tc>
        <w:tc>
          <w:tcPr>
            <w:tcW w:type="dxa" w:w="20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无；如法律或平台有变化须重新审</w:t>
            </w:r>
          </w:p>
        </w:tc>
      </w:tr>
      <w:tr>
        <w:tc>
          <w:tcPr>
            <w:tcW w:type="dxa" w:w="24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健康与功效承诺</w:t>
            </w:r>
          </w:p>
        </w:tc>
        <w:tc>
          <w:tcPr>
            <w:tcW w:type="dxa" w:w="37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不得宣称治疗、保健或改善身体</w:t>
            </w:r>
          </w:p>
        </w:tc>
        <w:tc>
          <w:tcPr>
            <w:tcW w:type="dxa" w:w="3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只说经批准的商品属性</w:t>
            </w:r>
          </w:p>
        </w:tc>
        <w:tc>
          <w:tcPr>
            <w:tcW w:type="dxa" w:w="25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内容、广告、达人、直播、商品页、AI回复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无；如法律或平台有变化须重新审</w:t>
            </w:r>
          </w:p>
        </w:tc>
      </w:tr>
      <w:tr>
        <w:tc>
          <w:tcPr>
            <w:tcW w:type="dxa" w:w="246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饮酒带来成功</w:t>
            </w:r>
          </w:p>
        </w:tc>
        <w:tc>
          <w:tcPr>
            <w:tcW w:type="dxa" w:w="37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不得暗示酒能提升魅力、事业或社交</w:t>
            </w:r>
          </w:p>
        </w:tc>
        <w:tc>
          <w:tcPr>
            <w:tcW w:type="dxa" w:w="34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采用文化与责任饮酒表达</w:t>
            </w:r>
          </w:p>
        </w:tc>
        <w:tc>
          <w:tcPr>
            <w:tcW w:type="dxa" w:w="255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内容、广告、达人、直播、商品页、AI回复</w:t>
            </w:r>
          </w:p>
        </w:tc>
        <w:tc>
          <w:tcPr>
            <w:tcW w:type="dxa" w:w="20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无；如法律或平台有变化须重新审</w:t>
            </w:r>
          </w:p>
        </w:tc>
      </w:tr>
      <w:tr>
        <w:tc>
          <w:tcPr>
            <w:tcW w:type="dxa" w:w="24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鼓励过量饮酒</w:t>
            </w:r>
          </w:p>
        </w:tc>
        <w:tc>
          <w:tcPr>
            <w:tcW w:type="dxa" w:w="37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不得挑战酒量、劝饮或表现醉酒</w:t>
            </w:r>
          </w:p>
        </w:tc>
        <w:tc>
          <w:tcPr>
            <w:tcW w:type="dxa" w:w="3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保持克制和成年人场景</w:t>
            </w:r>
          </w:p>
        </w:tc>
        <w:tc>
          <w:tcPr>
            <w:tcW w:type="dxa" w:w="25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内容、广告、达人、直播、商品页、AI回复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无；如法律或平台有变化须重新审</w:t>
            </w:r>
          </w:p>
        </w:tc>
      </w:tr>
      <w:tr>
        <w:tc>
          <w:tcPr>
            <w:tcW w:type="dxa" w:w="246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未成年人饮酒</w:t>
            </w:r>
          </w:p>
        </w:tc>
        <w:tc>
          <w:tcPr>
            <w:tcW w:type="dxa" w:w="37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不得出现未成年人持有或饮用酒类</w:t>
            </w:r>
          </w:p>
        </w:tc>
        <w:tc>
          <w:tcPr>
            <w:tcW w:type="dxa" w:w="34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使用合规成年演员并审年龄</w:t>
            </w:r>
          </w:p>
        </w:tc>
        <w:tc>
          <w:tcPr>
            <w:tcW w:type="dxa" w:w="255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内容、广告、达人、直播、商品页、AI回复</w:t>
            </w:r>
          </w:p>
        </w:tc>
        <w:tc>
          <w:tcPr>
            <w:tcW w:type="dxa" w:w="20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无；如法律或平台有变化须重新审</w:t>
            </w:r>
          </w:p>
        </w:tc>
      </w:tr>
      <w:tr>
        <w:tc>
          <w:tcPr>
            <w:tcW w:type="dxa" w:w="24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酒类赠品或抽奖</w:t>
            </w:r>
          </w:p>
        </w:tc>
        <w:tc>
          <w:tcPr>
            <w:tcW w:type="dxa" w:w="37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未取得当地与平台确认前不得执行</w:t>
            </w:r>
          </w:p>
        </w:tc>
        <w:tc>
          <w:tcPr>
            <w:tcW w:type="dxa" w:w="3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先走书面审批</w:t>
            </w:r>
          </w:p>
        </w:tc>
        <w:tc>
          <w:tcPr>
            <w:tcW w:type="dxa" w:w="25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内容、广告、达人、直播、商品页、AI回复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无；如法律或平台有变化须重新审</w:t>
            </w:r>
          </w:p>
        </w:tc>
      </w:tr>
      <w:tr>
        <w:tc>
          <w:tcPr>
            <w:tcW w:type="dxa" w:w="246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未确认购买导流</w:t>
            </w:r>
          </w:p>
        </w:tc>
        <w:tc>
          <w:tcPr>
            <w:tcW w:type="dxa" w:w="37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不得用链接、电话、私信引导酒类交易</w:t>
            </w:r>
          </w:p>
        </w:tc>
        <w:tc>
          <w:tcPr>
            <w:tcW w:type="dxa" w:w="34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先取得受管制行业例外和本地意见</w:t>
            </w:r>
          </w:p>
        </w:tc>
        <w:tc>
          <w:tcPr>
            <w:tcW w:type="dxa" w:w="255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内容、广告、达人、直播、商品页、AI回复</w:t>
            </w:r>
          </w:p>
        </w:tc>
        <w:tc>
          <w:tcPr>
            <w:tcW w:type="dxa" w:w="20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无；如法律或平台有变化须重新审</w:t>
            </w:r>
          </w:p>
        </w:tc>
      </w:tr>
      <w:tr>
        <w:tc>
          <w:tcPr>
            <w:tcW w:type="dxa" w:w="24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虚假现货与时效</w:t>
            </w:r>
          </w:p>
        </w:tc>
        <w:tc>
          <w:tcPr>
            <w:tcW w:type="dxa" w:w="37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不得把在途或估算写成现货</w:t>
            </w:r>
          </w:p>
        </w:tc>
        <w:tc>
          <w:tcPr>
            <w:tcW w:type="dxa" w:w="3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只读可售库存和配送规则</w:t>
            </w:r>
          </w:p>
        </w:tc>
        <w:tc>
          <w:tcPr>
            <w:tcW w:type="dxa" w:w="25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内容、广告、达人、直播、商品页、AI回复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无；如法律或平台有变化须重新审</w:t>
            </w:r>
          </w:p>
        </w:tc>
      </w:tr>
      <w:tr>
        <w:tc>
          <w:tcPr>
            <w:tcW w:type="dxa" w:w="246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估算价格当正式价格</w:t>
            </w:r>
          </w:p>
        </w:tc>
        <w:tc>
          <w:tcPr>
            <w:tcW w:type="dxa" w:w="37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不得省略币种、税费、配送和有效期</w:t>
            </w:r>
          </w:p>
        </w:tc>
        <w:tc>
          <w:tcPr>
            <w:tcW w:type="dxa" w:w="34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使用已批准价格版本</w:t>
            </w:r>
          </w:p>
        </w:tc>
        <w:tc>
          <w:tcPr>
            <w:tcW w:type="dxa" w:w="255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内容、广告、达人、直播、商品页、AI回复</w:t>
            </w:r>
          </w:p>
        </w:tc>
        <w:tc>
          <w:tcPr>
            <w:tcW w:type="dxa" w:w="20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无；如法律或平台有变化须重新审</w:t>
            </w:r>
          </w:p>
        </w:tc>
      </w:tr>
      <w:tr>
        <w:tc>
          <w:tcPr>
            <w:tcW w:type="dxa" w:w="24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虚假检测或许可</w:t>
            </w:r>
          </w:p>
        </w:tc>
        <w:tc>
          <w:tcPr>
            <w:tcW w:type="dxa" w:w="37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不得生成或修饰不存在的文件</w:t>
            </w:r>
          </w:p>
        </w:tc>
        <w:tc>
          <w:tcPr>
            <w:tcW w:type="dxa" w:w="3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明确写待提供</w:t>
            </w:r>
          </w:p>
        </w:tc>
        <w:tc>
          <w:tcPr>
            <w:tcW w:type="dxa" w:w="25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内容、广告、达人、直播、商品页、AI回复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无；如法律或平台有变化须重新审</w:t>
            </w:r>
          </w:p>
        </w:tc>
      </w:tr>
      <w:tr>
        <w:tc>
          <w:tcPr>
            <w:tcW w:type="dxa" w:w="246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海鲜绝对新鲜</w:t>
            </w:r>
          </w:p>
        </w:tc>
        <w:tc>
          <w:tcPr>
            <w:tcW w:type="dxa" w:w="37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没有温控、批次和判定标准不得使用</w:t>
            </w:r>
          </w:p>
        </w:tc>
        <w:tc>
          <w:tcPr>
            <w:tcW w:type="dxa" w:w="34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说明收货状态和保存要求</w:t>
            </w:r>
          </w:p>
        </w:tc>
        <w:tc>
          <w:tcPr>
            <w:tcW w:type="dxa" w:w="255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内容、广告、达人、直播、商品页、AI回复</w:t>
            </w:r>
          </w:p>
        </w:tc>
        <w:tc>
          <w:tcPr>
            <w:tcW w:type="dxa" w:w="20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无；如法律或平台有变化须重新审</w:t>
            </w:r>
          </w:p>
        </w:tc>
      </w:tr>
      <w:tr>
        <w:tc>
          <w:tcPr>
            <w:tcW w:type="dxa" w:w="24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模糊裹冰与净重</w:t>
            </w:r>
          </w:p>
        </w:tc>
        <w:tc>
          <w:tcPr>
            <w:tcW w:type="dxa" w:w="37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不得只写包装总重</w:t>
            </w:r>
          </w:p>
        </w:tc>
        <w:tc>
          <w:tcPr>
            <w:tcW w:type="dxa" w:w="3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同时说明标称净重和裹冰口径</w:t>
            </w:r>
          </w:p>
        </w:tc>
        <w:tc>
          <w:tcPr>
            <w:tcW w:type="dxa" w:w="25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内容、广告、达人、直播、商品页、AI回复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无；如法律或平台有变化须重新审</w:t>
            </w:r>
          </w:p>
        </w:tc>
      </w:tr>
      <w:tr>
        <w:tc>
          <w:tcPr>
            <w:tcW w:type="dxa" w:w="246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虚假合作案例</w:t>
            </w:r>
          </w:p>
        </w:tc>
        <w:tc>
          <w:tcPr>
            <w:tcW w:type="dxa" w:w="37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不得使用未发生的采购与复购故事</w:t>
            </w:r>
          </w:p>
        </w:tc>
        <w:tc>
          <w:tcPr>
            <w:tcW w:type="dxa" w:w="34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只使用已授权真实记录</w:t>
            </w:r>
          </w:p>
        </w:tc>
        <w:tc>
          <w:tcPr>
            <w:tcW w:type="dxa" w:w="255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内容、广告、达人、直播、商品页、AI回复</w:t>
            </w:r>
          </w:p>
        </w:tc>
        <w:tc>
          <w:tcPr>
            <w:tcW w:type="dxa" w:w="20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无；如法律或平台有变化须重新审</w:t>
            </w:r>
          </w:p>
        </w:tc>
      </w:tr>
      <w:tr>
        <w:tc>
          <w:tcPr>
            <w:tcW w:type="dxa" w:w="24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AI伪造实拍</w:t>
            </w:r>
          </w:p>
        </w:tc>
        <w:tc>
          <w:tcPr>
            <w:tcW w:type="dxa" w:w="37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不得把AI画面当真实商品或仓库</w:t>
            </w:r>
          </w:p>
        </w:tc>
        <w:tc>
          <w:tcPr>
            <w:tcW w:type="dxa" w:w="3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明确标记示意，并优先实拍</w:t>
            </w:r>
          </w:p>
        </w:tc>
        <w:tc>
          <w:tcPr>
            <w:tcW w:type="dxa" w:w="25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内容、广告、达人、直播、商品页、AI回复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无；如法律或平台有变化须重新审</w:t>
            </w:r>
          </w:p>
        </w:tc>
      </w:tr>
    </w:tbl>
    <w:p>
      <w:pPr>
        <w:spacing w:after="40"/>
      </w:pPr>
    </w:p>
    <w:p>
      <w:pPr>
        <w:pStyle w:val="Heading1"/>
      </w:pPr>
      <w:r>
        <w:t>AI画面与实拍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80"/>
        <w:gridCol w:w="11076"/>
      </w:tblGrid>
      <w:tr>
        <w:trPr>
          <w:tblHeader w:val="true"/>
        </w:trPr>
        <w:tc>
          <w:tcPr>
            <w:tcW w:type="dxa" w:w="31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1107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真实商品</w:t>
            </w:r>
          </w:p>
        </w:tc>
        <w:tc>
          <w:tcPr>
            <w:tcW w:type="dxa" w:w="110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瓶体、包装、规格、标签、颜色和数量必须与当前商品一致</w:t>
            </w:r>
          </w:p>
        </w:tc>
      </w:tr>
      <w:tr>
        <w:tc>
          <w:tcPr>
            <w:tcW w:type="dxa" w:w="31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仓库或门店</w:t>
            </w:r>
          </w:p>
        </w:tc>
        <w:tc>
          <w:tcPr>
            <w:tcW w:type="dxa" w:w="110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优先实拍；AI示意不得伪装成真实地点</w:t>
            </w:r>
          </w:p>
        </w:tc>
      </w:tr>
      <w:tr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人物</w:t>
            </w:r>
          </w:p>
        </w:tc>
        <w:tc>
          <w:tcPr>
            <w:tcW w:type="dxa" w:w="110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有授权；酒类画面使用合规成年人；不表现过量饮酒</w:t>
            </w:r>
          </w:p>
        </w:tc>
      </w:tr>
      <w:tr>
        <w:tc>
          <w:tcPr>
            <w:tcW w:type="dxa" w:w="31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食品状态</w:t>
            </w:r>
          </w:p>
        </w:tc>
        <w:tc>
          <w:tcPr>
            <w:tcW w:type="dxa" w:w="110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不得用AI画面替代解冻前后、裹冰、净重和送达状态证据</w:t>
            </w:r>
          </w:p>
        </w:tc>
      </w:tr>
      <w:tr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标记</w:t>
            </w:r>
          </w:p>
        </w:tc>
        <w:tc>
          <w:tcPr>
            <w:tcW w:type="dxa" w:w="110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涉及真实感较强的AI生成或编辑时，按平台要求标记</w:t>
            </w:r>
          </w:p>
        </w:tc>
      </w:tr>
    </w:tbl>
    <w:p>
      <w:pPr>
        <w:spacing w:after="40"/>
      </w:pPr>
    </w:p>
    <w:p>
      <w:pPr>
        <w:pStyle w:val="Heading1"/>
      </w:pPr>
      <w:r>
        <w:t>发布审批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35"/>
        <w:gridCol w:w="12721"/>
      </w:tblGrid>
      <w:tr>
        <w:trPr>
          <w:tblHeader w:val="true"/>
        </w:trPr>
        <w:tc>
          <w:tcPr>
            <w:tcW w:type="dxa" w:w="15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1272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行动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脚本引用事实库版本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供应与品牌事实审核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尼泊尔当地法律审核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平台规则与披露检查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库存、价格和配送再核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6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批准后发布并记录URL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7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变化时下架或更新</w:t>
            </w:r>
          </w:p>
        </w:tc>
      </w:tr>
    </w:tbl>
    <w:p>
      <w:pPr>
        <w:spacing w:after="40"/>
      </w:pPr>
    </w:p>
    <w:p>
      <w:pPr>
        <w:pStyle w:val="Heading1"/>
      </w:pPr>
      <w:r>
        <w:t>来源与适用范围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12"/>
        <w:gridCol w:w="3219"/>
        <w:gridCol w:w="2299"/>
        <w:gridCol w:w="1931"/>
        <w:gridCol w:w="3035"/>
        <w:gridCol w:w="1288"/>
        <w:gridCol w:w="1472"/>
      </w:tblGrid>
      <w:tr>
        <w:trPr>
          <w:tblHeader w:val="true"/>
        </w:trPr>
        <w:tc>
          <w:tcPr>
            <w:tcW w:type="dxa" w:w="10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321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官方来源</w:t>
            </w:r>
          </w:p>
        </w:tc>
        <w:tc>
          <w:tcPr>
            <w:tcW w:type="dxa" w:w="229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发布机构</w:t>
            </w:r>
          </w:p>
        </w:tc>
        <w:tc>
          <w:tcPr>
            <w:tcW w:type="dxa" w:w="193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页面日期</w:t>
            </w:r>
          </w:p>
        </w:tc>
        <w:tc>
          <w:tcPr>
            <w:tcW w:type="dxa" w:w="30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适用范围</w:t>
            </w:r>
          </w:p>
        </w:tc>
        <w:tc>
          <w:tcPr>
            <w:tcW w:type="dxa" w:w="128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状态</w:t>
            </w:r>
          </w:p>
        </w:tc>
        <w:tc>
          <w:tcPr>
            <w:tcW w:type="dxa" w:w="147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查询日</w:t>
            </w:r>
          </w:p>
        </w:tc>
      </w:tr>
      <w:tr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T01</w:t>
            </w:r>
          </w:p>
        </w:tc>
        <w:tc>
          <w:tcPr>
            <w:tcW w:type="dxa" w:w="32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1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TikTok Community Guidelines</w:t>
              </w:r>
            </w:hyperlink>
          </w:p>
        </w:tc>
        <w:tc>
          <w:tcPr>
            <w:tcW w:type="dxa" w:w="2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</w:t>
            </w:r>
          </w:p>
        </w:tc>
        <w:tc>
          <w:tcPr>
            <w:tcW w:type="dxa" w:w="1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发布 2025-08-14；生效 2025-09-13</w:t>
            </w:r>
          </w:p>
        </w:tc>
        <w:tc>
          <w:tcPr>
            <w:tcW w:type="dxa" w:w="3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普通内容、商业披露、受管制商品、外链、直播</w:t>
            </w:r>
          </w:p>
        </w:tc>
        <w:tc>
          <w:tcPr>
            <w:tcW w:type="dxa" w:w="1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T02</w:t>
            </w:r>
          </w:p>
        </w:tc>
        <w:tc>
          <w:tcPr>
            <w:tcW w:type="dxa" w:w="32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2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Regulated Goods, Services, and Commercial Activities</w:t>
              </w:r>
            </w:hyperlink>
          </w:p>
        </w:tc>
        <w:tc>
          <w:tcPr>
            <w:tcW w:type="dxa" w:w="22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</w:t>
            </w:r>
          </w:p>
        </w:tc>
        <w:tc>
          <w:tcPr>
            <w:tcW w:type="dxa" w:w="1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发布 2025-08-14；生效 2025-09-13</w:t>
            </w:r>
          </w:p>
        </w:tc>
        <w:tc>
          <w:tcPr>
            <w:tcW w:type="dxa" w:w="30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酒类交易、营销、导流与有限例外</w:t>
            </w:r>
          </w:p>
        </w:tc>
        <w:tc>
          <w:tcPr>
            <w:tcW w:type="dxa" w:w="12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T03</w:t>
            </w:r>
          </w:p>
        </w:tc>
        <w:tc>
          <w:tcPr>
            <w:tcW w:type="dxa" w:w="32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3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Alcohol Advertising Policy</w:t>
              </w:r>
            </w:hyperlink>
          </w:p>
        </w:tc>
        <w:tc>
          <w:tcPr>
            <w:tcW w:type="dxa" w:w="2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for Business</w:t>
            </w:r>
          </w:p>
        </w:tc>
        <w:tc>
          <w:tcPr>
            <w:tcW w:type="dxa" w:w="1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更新 2025-09</w:t>
            </w:r>
          </w:p>
        </w:tc>
        <w:tc>
          <w:tcPr>
            <w:tcW w:type="dxa" w:w="3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酒类广告通用要求、禁止内容和许可要求</w:t>
            </w:r>
          </w:p>
        </w:tc>
        <w:tc>
          <w:tcPr>
            <w:tcW w:type="dxa" w:w="1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T07</w:t>
            </w:r>
          </w:p>
        </w:tc>
        <w:tc>
          <w:tcPr>
            <w:tcW w:type="dxa" w:w="32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4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Promoting a Brand, Product, or Service</w:t>
              </w:r>
            </w:hyperlink>
          </w:p>
        </w:tc>
        <w:tc>
          <w:tcPr>
            <w:tcW w:type="dxa" w:w="22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Support</w:t>
            </w:r>
          </w:p>
        </w:tc>
        <w:tc>
          <w:tcPr>
            <w:tcW w:type="dxa" w:w="1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查询 2026-07-27</w:t>
            </w:r>
          </w:p>
        </w:tc>
        <w:tc>
          <w:tcPr>
            <w:tcW w:type="dxa" w:w="30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商业内容披露、品牌合作标记、发布与直播</w:t>
            </w:r>
          </w:p>
        </w:tc>
        <w:tc>
          <w:tcPr>
            <w:tcW w:type="dxa" w:w="12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N01</w:t>
            </w:r>
          </w:p>
        </w:tc>
        <w:tc>
          <w:tcPr>
            <w:tcW w:type="dxa" w:w="32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5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Public Health Service Act, 2075, Section 45</w:t>
              </w:r>
            </w:hyperlink>
          </w:p>
        </w:tc>
        <w:tc>
          <w:tcPr>
            <w:tcW w:type="dxa" w:w="2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Law Commission</w:t>
            </w:r>
          </w:p>
        </w:tc>
        <w:tc>
          <w:tcPr>
            <w:tcW w:type="dxa" w:w="1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2018；现行法律库</w:t>
            </w:r>
          </w:p>
        </w:tc>
        <w:tc>
          <w:tcPr>
            <w:tcW w:type="dxa" w:w="3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酒类广告材料制作、分发与传播限制</w:t>
            </w:r>
          </w:p>
        </w:tc>
        <w:tc>
          <w:tcPr>
            <w:tcW w:type="dxa" w:w="1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F01</w:t>
            </w:r>
          </w:p>
        </w:tc>
        <w:tc>
          <w:tcPr>
            <w:tcW w:type="dxa" w:w="32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6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Food Regulation 1970</w:t>
              </w:r>
            </w:hyperlink>
          </w:p>
        </w:tc>
        <w:tc>
          <w:tcPr>
            <w:tcW w:type="dxa" w:w="22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Food Technology and Quality Control, Nepal</w:t>
            </w:r>
          </w:p>
        </w:tc>
        <w:tc>
          <w:tcPr>
            <w:tcW w:type="dxa" w:w="1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现行官方资料库</w:t>
            </w:r>
          </w:p>
        </w:tc>
        <w:tc>
          <w:tcPr>
            <w:tcW w:type="dxa" w:w="30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包装食品标签、批号、生产日期、有效期与净重</w:t>
            </w:r>
          </w:p>
        </w:tc>
        <w:tc>
          <w:tcPr>
            <w:tcW w:type="dxa" w:w="12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</w:tbl>
    <w:p>
      <w:pPr>
        <w:spacing w:after="40"/>
      </w:pPr>
    </w:p>
    <w:p>
      <w:pPr>
        <w:pStyle w:val="Heading1"/>
      </w:pPr>
      <w:r>
        <w:t>结论</w:t>
      </w:r>
    </w:p>
    <w:p>
      <w:pPr>
        <w:spacing w:before="80" w:after="180"/>
        <w:shd w:fill="EAF6EF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当前结论  </w:t>
      </w:r>
      <w:r>
        <w:rPr>
          <w:rFonts w:ascii="Hiragino Sans GB" w:hAnsi="Hiragino Sans GB" w:eastAsia="Hiragino Sans GB"/>
          <w:color w:val="1F2937"/>
          <w:sz w:val="21"/>
        </w:rPr>
        <w:t>本文件的结构与执行口径已完成；凡依赖真实主体、商品、许可、价格、库存、平台后台或当地专业意见的事项，仍以待确认状态管理，未通过前不得进入对应动作。</w:t>
      </w:r>
    </w:p>
    <w:p>
      <w:pPr>
        <w:pStyle w:val="Heading1"/>
      </w:pPr>
      <w:r>
        <w:t>待确认项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35"/>
        <w:gridCol w:w="3400"/>
        <w:gridCol w:w="3948"/>
        <w:gridCol w:w="1973"/>
      </w:tblGrid>
      <w:tr>
        <w:trPr>
          <w:tblHeader w:val="true"/>
        </w:trPr>
        <w:tc>
          <w:tcPr>
            <w:tcW w:type="dxa" w:w="49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34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责任方</w:t>
            </w:r>
          </w:p>
        </w:tc>
        <w:tc>
          <w:tcPr>
            <w:tcW w:type="dxa" w:w="39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完成证据</w:t>
            </w:r>
          </w:p>
        </w:tc>
        <w:tc>
          <w:tcPr>
            <w:tcW w:type="dxa" w:w="197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当前状态</w:t>
            </w:r>
          </w:p>
        </w:tc>
      </w:tr>
      <w:tr>
        <w:tc>
          <w:tcPr>
            <w:tcW w:type="dxa" w:w="4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真实主体、商品与履约资料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产品与履约团队</w:t>
            </w:r>
          </w:p>
        </w:tc>
        <w:tc>
          <w:tcPr>
            <w:tcW w:type="dxa" w:w="3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有效文件及批准版本</w:t>
            </w:r>
          </w:p>
        </w:tc>
        <w:tc>
          <w:tcPr>
            <w:tcW w:type="dxa" w:w="1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</w:t>
            </w:r>
          </w:p>
        </w:tc>
      </w:tr>
      <w:tr>
        <w:tc>
          <w:tcPr>
            <w:tcW w:type="dxa" w:w="49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尼泊尔当地法律与许可适用性</w:t>
            </w:r>
          </w:p>
        </w:tc>
        <w:tc>
          <w:tcPr>
            <w:tcW w:type="dxa" w:w="34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尼泊尔当地责任主体</w:t>
            </w:r>
          </w:p>
        </w:tc>
        <w:tc>
          <w:tcPr>
            <w:tcW w:type="dxa" w:w="39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书面意见或官方回执</w:t>
            </w:r>
          </w:p>
        </w:tc>
        <w:tc>
          <w:tcPr>
            <w:tcW w:type="dxa" w:w="19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待验证</w:t>
            </w:r>
          </w:p>
        </w:tc>
      </w:tr>
      <w:tr>
        <w:tc>
          <w:tcPr>
            <w:tcW w:type="dxa" w:w="4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平台实际账号与功能能力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平台与广告账户主体</w:t>
            </w:r>
          </w:p>
        </w:tc>
        <w:tc>
          <w:tcPr>
            <w:tcW w:type="dxa" w:w="3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后台截图、工单或测试记录</w:t>
            </w:r>
          </w:p>
        </w:tc>
        <w:tc>
          <w:tcPr>
            <w:tcW w:type="dxa" w:w="1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待平台测试</w:t>
            </w:r>
          </w:p>
        </w:tc>
      </w:tr>
    </w:tbl>
    <w:p>
      <w:pPr>
        <w:spacing w:after="40"/>
      </w:pPr>
    </w:p>
    <w:p>
      <w:pPr>
        <w:pStyle w:val="Heading1"/>
      </w:pPr>
      <w:r>
        <w:t>下一步</w:t>
      </w:r>
    </w:p>
    <w:p>
      <w:pPr>
        <w:keepLines/>
        <w:spacing w:after="40"/>
      </w:pPr>
      <w:r>
        <w:rPr>
          <w:rFonts w:ascii="Hiragino Sans GB" w:hAnsi="Hiragino Sans GB" w:eastAsia="Hiragino Sans GB"/>
          <w:color w:val="1F2937"/>
          <w:sz w:val="19"/>
        </w:rPr>
        <w:t>1. 各责任方按P0顺序补齐真实资料，并指定主负责人和备用负责人。</w:t>
        <w:br/>
        <w:t>2. 完成尼泊尔当地书面复核与实际平台后台测试，把通过版本录入事实源。</w:t>
        <w:br/>
        <w:t>3. 执行模拟测试；对应门槛全部通过后再做小范围真实验证和放量决定。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7085"/>
        <w:sz w:val="16"/>
      </w:rPr>
      <w:t xml:space="preserve">2026-07-27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color w:val="667085"/>
        <w:sz w:val="16"/>
      </w:rPr>
      <w:t>汾酒＋海鲜尼泊尔项目｜合作执行资料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Hiragino Sans GB" w:hAnsi="Hiragino Sans GB" w:eastAsia="Hiragino Sans GB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tiktok.com/community-guidelines/en" TargetMode="External"/><Relationship Id="rId12" Type="http://schemas.openxmlformats.org/officeDocument/2006/relationships/hyperlink" Target="https://www.tiktok.com/community-guidelines/en/regulated-commercial-activities" TargetMode="External"/><Relationship Id="rId13" Type="http://schemas.openxmlformats.org/officeDocument/2006/relationships/hyperlink" Target="https://ads.tiktok.com/help/article/tiktok-ads-policy-alcohol" TargetMode="External"/><Relationship Id="rId14" Type="http://schemas.openxmlformats.org/officeDocument/2006/relationships/hyperlink" Target="https://support.tiktok.com/en/business-and-creator/creator-and-business-accounts/promoting-a-brand-product-or-service" TargetMode="External"/><Relationship Id="rId15" Type="http://schemas.openxmlformats.org/officeDocument/2006/relationships/hyperlink" Target="https://repository.lawcommission.gov.np/np/category/documents/prevailing-law/statutes-acts/%E0%A4%9C%E0%A4%A8%E0%A4%B8%E0%A5%8D%E0%A4%B5%E0%A4%BE%E0%A4%B8%E0%A5%8D%E0%A4%A5%E0%A5%8D%E0%A4%AF-%E0%A4%B8%E0%A5%87%E0%A4%B5%E0%A4%BE-%E0%A4%90%E0%A4%A8-%E0%A5%A8%E0%A5%A6%E0%A5%AD%E0%A5%AB/" TargetMode="External"/><Relationship Id="rId16" Type="http://schemas.openxmlformats.org/officeDocument/2006/relationships/hyperlink" Target="https://www.dftqc.gov.np/rules/download-%2813%29-1742819788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11_内容事实库与禁止表达库</dc:title>
  <dc:subject>汾酒与海鲜尼泊尔线上销售供应链协同与资料交付</dc:subject>
  <dc:creator>项目总控与交付工作组</dc:creator>
  <cp:keywords/>
  <dc:description>合作确认稿；待确认事项不得外推为已完成。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