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AI客服FAQ与人工转接规则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AI只回答已批准事实；价格、质量、退款、酒类购买和异常必须按规则转人工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AI答复原则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FAQ与人工转接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强制人工场景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会话记录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AI答复原则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默认行为  </w:t>
      </w:r>
      <w:r>
        <w:rPr>
          <w:rFonts w:ascii="Hiragino Sans GB" w:hAnsi="Hiragino Sans GB" w:eastAsia="Hiragino Sans GB"/>
          <w:color w:val="1F2937"/>
          <w:sz w:val="21"/>
        </w:rPr>
        <w:t>资料缺失、过期、冲突或不在批准范围时，AI只说明“需要人工确认”，并收集最少必要信息。不得自行承诺价格、库存、配送、质量、退款、许可或平台能力。</w:t>
      </w:r>
    </w:p>
    <w:p>
      <w:pPr>
        <w:pStyle w:val="Heading1"/>
      </w:pPr>
      <w:r>
        <w:t>FAQ与人工转接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1346"/>
        <w:gridCol w:w="2455"/>
        <w:gridCol w:w="2455"/>
        <w:gridCol w:w="1584"/>
        <w:gridCol w:w="2614"/>
        <w:gridCol w:w="2218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主题</w:t>
            </w:r>
          </w:p>
        </w:tc>
        <w:tc>
          <w:tcPr>
            <w:tcW w:type="dxa" w:w="134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AI权限</w:t>
            </w:r>
          </w:p>
        </w:tc>
        <w:tc>
          <w:tcPr>
            <w:tcW w:type="dxa" w:w="24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答复依据</w:t>
            </w:r>
          </w:p>
        </w:tc>
        <w:tc>
          <w:tcPr>
            <w:tcW w:type="dxa" w:w="24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转人工条件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人工负责人</w:t>
            </w:r>
          </w:p>
        </w:tc>
        <w:tc>
          <w:tcPr>
            <w:tcW w:type="dxa" w:w="26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标准答复要点</w:t>
            </w:r>
          </w:p>
        </w:tc>
        <w:tc>
          <w:tcPr>
            <w:tcW w:type="dxa" w:w="221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记录要求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商品规格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可自动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读取当前商品主表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资料缺失或冲突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当前价格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条件自动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仅显示批准且未过期价格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大额、特殊价、价格过期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当前库存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条件自动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仅读可售库存和更新时间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库存不同步或不足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配送范围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可自动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读取当前配送规则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地址模糊、超区或节假日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送达时效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条件自动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显示区间，不作绝对承诺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紧急订单或异常天气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最低订货量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可自动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读取B2B政策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需要混批或特殊规格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样品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只收集需求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说明公开政策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免费、特殊数量或跨城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账期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不可自动批准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说明需商务审核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所有账期申请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独家与区域保护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不可自动批准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只记录需求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所有相关询问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过敏提示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可自动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逐商品读取批准内容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出现不适或医学问题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解冻与保存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可自动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逐商品读取说明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标签与系统冲突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裹冰与重量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可自动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说明测量口径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实际争议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中国产品供应方、尼泊尔仓储与履约团队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酒精度与容量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可自动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逐商品读取批准内容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包装与系统冲突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汾酒品牌授权方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酒类购买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不可自动引导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说明由当地持牌人员确认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所有下单、外链和配送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只收集信息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说明公开规则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金额、责任和例外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破损或融化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只收集证据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提示拍照、视频和批次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立即人工接管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尼泊尔仓储与履约团队、尼泊尔销售与收款主体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食品安全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不可自动判断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停止食用并保存证据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立即人工与质量升级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中国产品供应方、尼泊尔进口主体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疑似假货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不可自动判断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保存瓶体、防伪和购买证明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立即品牌升级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汾酒品牌授权方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订单状态</w:t>
            </w:r>
          </w:p>
        </w:tc>
        <w:tc>
          <w:tcPr>
            <w:tcW w:type="dxa" w:w="13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可自动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读取订单与配送状态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状态停滞或冲突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投诉与重大负面</w:t>
            </w:r>
          </w:p>
        </w:tc>
        <w:tc>
          <w:tcPr>
            <w:tcW w:type="dxa" w:w="13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不可自动处理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表达已登记，不争辩</w:t>
            </w:r>
          </w:p>
        </w:tc>
        <w:tc>
          <w:tcPr>
            <w:tcW w:type="dxa" w:w="2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立即人工接管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线上运营团队、尼泊尔销售与收款主体</w:t>
            </w:r>
          </w:p>
        </w:tc>
        <w:tc>
          <w:tcPr>
            <w:tcW w:type="dxa" w:w="26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仅使用当前批准版本；不确定时说明待确认</w:t>
            </w:r>
          </w:p>
        </w:tc>
        <w:tc>
          <w:tcPr>
            <w:tcW w:type="dxa" w:w="2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时间、问题、引用版本、答复、接管人</w:t>
            </w:r>
          </w:p>
        </w:tc>
      </w:tr>
    </w:tbl>
    <w:p>
      <w:pPr>
        <w:spacing w:after="40"/>
      </w:pPr>
    </w:p>
    <w:p>
      <w:pPr>
        <w:pStyle w:val="Heading1"/>
      </w:pPr>
      <w:r>
        <w:t>强制人工场景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360"/>
        <w:gridCol w:w="2961"/>
        <w:gridCol w:w="4935"/>
      </w:tblGrid>
      <w:tr>
        <w:trPr>
          <w:tblHeader w:val="true"/>
        </w:trPr>
        <w:tc>
          <w:tcPr>
            <w:tcW w:type="dxa" w:w="63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最长接管时间</w:t>
            </w:r>
          </w:p>
        </w:tc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自动动作</w:t>
            </w:r>
          </w:p>
        </w:tc>
      </w:tr>
      <w:tr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正式报价、账期、独家、返点、大额订单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15分钟确认，4小时给结果</w:t>
            </w:r>
          </w:p>
        </w:tc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创建审批任务</w:t>
            </w:r>
          </w:p>
        </w:tc>
      </w:tr>
      <w:tr>
        <w:tc>
          <w:tcPr>
            <w:tcW w:type="dxa" w:w="63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酒类购买、外链、验龄、配送与退款</w:t>
            </w:r>
          </w:p>
        </w:tc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15分钟</w:t>
            </w:r>
          </w:p>
        </w:tc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停止自动销售引导</w:t>
            </w:r>
          </w:p>
        </w:tc>
      </w:tr>
      <w:tr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食品安全、过敏、融化、变质、批次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立即</w:t>
            </w:r>
          </w:p>
        </w:tc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提示停止食用、保留证据</w:t>
            </w:r>
          </w:p>
        </w:tc>
      </w:tr>
      <w:tr>
        <w:tc>
          <w:tcPr>
            <w:tcW w:type="dxa" w:w="63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疑似假货、重大舆情、监管或平台通知</w:t>
            </w:r>
          </w:p>
        </w:tc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立即</w:t>
            </w:r>
          </w:p>
        </w:tc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冻结相关自动回复</w:t>
            </w:r>
          </w:p>
        </w:tc>
      </w:tr>
      <w:tr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支付失败、重复扣款、退款失败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15分钟</w:t>
            </w:r>
          </w:p>
        </w:tc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停止出库并创建财务任务</w:t>
            </w:r>
          </w:p>
        </w:tc>
      </w:tr>
    </w:tbl>
    <w:p>
      <w:pPr>
        <w:spacing w:after="40"/>
      </w:pPr>
    </w:p>
    <w:p>
      <w:pPr>
        <w:pStyle w:val="Heading1"/>
      </w:pPr>
      <w:r>
        <w:t>会话记录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2"/>
        <w:gridCol w:w="1316"/>
        <w:gridCol w:w="1681"/>
        <w:gridCol w:w="1462"/>
        <w:gridCol w:w="2047"/>
        <w:gridCol w:w="1170"/>
        <w:gridCol w:w="2193"/>
        <w:gridCol w:w="1462"/>
        <w:gridCol w:w="1463"/>
      </w:tblGrid>
      <w:tr>
        <w:trPr>
          <w:tblHeader w:val="true"/>
        </w:trPr>
        <w:tc>
          <w:tcPr>
            <w:tcW w:type="dxa" w:w="14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会话编号</w:t>
            </w:r>
          </w:p>
        </w:tc>
        <w:tc>
          <w:tcPr>
            <w:tcW w:type="dxa" w:w="13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168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咨询方类型</w:t>
            </w:r>
          </w:p>
        </w:tc>
        <w:tc>
          <w:tcPr>
            <w:tcW w:type="dxa" w:w="14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SKU/订单</w:t>
            </w:r>
          </w:p>
        </w:tc>
        <w:tc>
          <w:tcPr>
            <w:tcW w:type="dxa" w:w="20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117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引用版本</w:t>
            </w:r>
          </w:p>
        </w:tc>
        <w:tc>
          <w:tcPr>
            <w:tcW w:type="dxa" w:w="21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AI答复</w:t>
            </w:r>
          </w:p>
        </w:tc>
        <w:tc>
          <w:tcPr>
            <w:tcW w:type="dxa" w:w="14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接管人</w:t>
            </w:r>
          </w:p>
        </w:tc>
        <w:tc>
          <w:tcPr>
            <w:tcW w:type="dxa" w:w="14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结果</w:t>
            </w:r>
          </w:p>
        </w:tc>
      </w:tr>
      <w:tr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采购单位 / 购买者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2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v____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12_AI客服FAQ与人工转接规则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