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AI数据接口与同步规范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让AI只读产品与履约团队确认的事实，不从聊天记录猜商品状态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设计目标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十二张事实表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同步优先级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Excel起步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数据库过渡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API成熟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JSON示例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8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权限与历史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9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验收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设计目标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唯一事实源  </w:t>
      </w:r>
      <w:r>
        <w:rPr>
          <w:rFonts w:ascii="Hiragino Sans GB" w:hAnsi="Hiragino Sans GB" w:eastAsia="Hiragino Sans GB"/>
          <w:color w:val="1F2937"/>
          <w:sz w:val="21"/>
        </w:rPr>
        <w:t>商品、价格、库存、配送、订单、售后、合规、内容和禁止表达必须各有唯一当前版本。聊天、邮件和会议只能触发更新，不能直接成为AI答复依据。</w:t>
      </w:r>
    </w:p>
    <w:p>
      <w:pPr>
        <w:pStyle w:val="Heading1"/>
      </w:pPr>
      <w:r>
        <w:t>十二张事实表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0"/>
        <w:gridCol w:w="1449"/>
        <w:gridCol w:w="2838"/>
        <w:gridCol w:w="906"/>
        <w:gridCol w:w="1147"/>
        <w:gridCol w:w="1390"/>
      </w:tblGrid>
      <w:tr>
        <w:trPr>
          <w:tblHeader w:val="true"/>
        </w:trPr>
        <w:tc>
          <w:tcPr>
            <w:tcW w:type="dxa" w:w="163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14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关键编号</w:t>
            </w:r>
          </w:p>
        </w:tc>
        <w:tc>
          <w:tcPr>
            <w:tcW w:type="dxa" w:w="283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主要数据项</w:t>
            </w:r>
          </w:p>
        </w:tc>
        <w:tc>
          <w:tcPr>
            <w:tcW w:type="dxa" w:w="90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责任</w:t>
            </w:r>
          </w:p>
        </w:tc>
        <w:tc>
          <w:tcPr>
            <w:tcW w:type="dxa" w:w="11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更新</w:t>
            </w:r>
          </w:p>
        </w:tc>
        <w:tc>
          <w:tcPr>
            <w:tcW w:type="dxa" w:w="139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失效处理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产品主表</w:t>
            </w:r>
          </w:p>
        </w:tc>
        <w:tc>
          <w:tcPr>
            <w:tcW w:type="dxa" w:w="14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sku_id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名称、规格、净重、批次规则、储存、有效期、销售状态</w:t>
            </w:r>
          </w:p>
        </w:tc>
        <w:tc>
          <w:tcPr>
            <w:tcW w:type="dxa" w:w="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CN</w:t>
            </w:r>
          </w:p>
        </w:tc>
        <w:tc>
          <w:tcPr>
            <w:tcW w:type="dxa" w:w="11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变更时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缺失则不上架</w:t>
            </w:r>
          </w:p>
        </w:tc>
      </w:tr>
      <w:tr>
        <w:tc>
          <w:tcPr>
            <w:tcW w:type="dxa" w:w="16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价格表</w:t>
            </w:r>
          </w:p>
        </w:tc>
        <w:tc>
          <w:tcPr>
            <w:tcW w:type="dxa" w:w="14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price_id</w:t>
            </w:r>
          </w:p>
        </w:tc>
        <w:tc>
          <w:tcPr>
            <w:tcW w:type="dxa" w:w="28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sku_id、渠道、币种、金额、税、配送、有效期、批准人</w:t>
            </w:r>
          </w:p>
        </w:tc>
        <w:tc>
          <w:tcPr>
            <w:tcW w:type="dxa" w:w="9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NS</w:t>
            </w:r>
          </w:p>
        </w:tc>
        <w:tc>
          <w:tcPr>
            <w:tcW w:type="dxa" w:w="11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变化/每周</w:t>
            </w:r>
          </w:p>
        </w:tc>
        <w:tc>
          <w:tcPr>
            <w:tcW w:type="dxa" w:w="13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过期则不报价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库存表</w:t>
            </w:r>
          </w:p>
        </w:tc>
        <w:tc>
          <w:tcPr>
            <w:tcW w:type="dxa" w:w="14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inventory_id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sku_id、仓库、可售、锁定、预留、在途、临期、更新时间</w:t>
            </w:r>
          </w:p>
        </w:tc>
        <w:tc>
          <w:tcPr>
            <w:tcW w:type="dxa" w:w="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WH</w:t>
            </w:r>
          </w:p>
        </w:tc>
        <w:tc>
          <w:tcPr>
            <w:tcW w:type="dxa" w:w="11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实时/高频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不同步则关闭承诺</w:t>
            </w:r>
          </w:p>
        </w:tc>
      </w:tr>
      <w:tr>
        <w:tc>
          <w:tcPr>
            <w:tcW w:type="dxa" w:w="16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配送规则表</w:t>
            </w:r>
          </w:p>
        </w:tc>
        <w:tc>
          <w:tcPr>
            <w:tcW w:type="dxa" w:w="14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delivery_rule_id</w:t>
            </w:r>
          </w:p>
        </w:tc>
        <w:tc>
          <w:tcPr>
            <w:tcW w:type="dxa" w:w="28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区域、费用、截单、时效、温控、上限、例外</w:t>
            </w:r>
          </w:p>
        </w:tc>
        <w:tc>
          <w:tcPr>
            <w:tcW w:type="dxa" w:w="9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WH</w:t>
            </w:r>
          </w:p>
        </w:tc>
        <w:tc>
          <w:tcPr>
            <w:tcW w:type="dxa" w:w="11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每日/变化</w:t>
            </w:r>
          </w:p>
        </w:tc>
        <w:tc>
          <w:tcPr>
            <w:tcW w:type="dxa" w:w="13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超区转人工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订单状态表</w:t>
            </w:r>
          </w:p>
        </w:tc>
        <w:tc>
          <w:tcPr>
            <w:tcW w:type="dxa" w:w="14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order_id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商品、数量、付款、库存锁定、出库、配送、签收</w:t>
            </w:r>
          </w:p>
        </w:tc>
        <w:tc>
          <w:tcPr>
            <w:tcW w:type="dxa" w:w="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NS</w:t>
            </w:r>
          </w:p>
        </w:tc>
        <w:tc>
          <w:tcPr>
            <w:tcW w:type="dxa" w:w="11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实时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支付失败不出库</w:t>
            </w:r>
          </w:p>
        </w:tc>
      </w:tr>
      <w:tr>
        <w:tc>
          <w:tcPr>
            <w:tcW w:type="dxa" w:w="16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售后规则表</w:t>
            </w:r>
          </w:p>
        </w:tc>
        <w:tc>
          <w:tcPr>
            <w:tcW w:type="dxa" w:w="14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after_sale_rule_id</w:t>
            </w:r>
          </w:p>
        </w:tc>
        <w:tc>
          <w:tcPr>
            <w:tcW w:type="dxa" w:w="28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场景、证据、时限、退款、补发、赔付、升级</w:t>
            </w:r>
          </w:p>
        </w:tc>
        <w:tc>
          <w:tcPr>
            <w:tcW w:type="dxa" w:w="9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NS</w:t>
            </w:r>
          </w:p>
        </w:tc>
        <w:tc>
          <w:tcPr>
            <w:tcW w:type="dxa" w:w="11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季度/变化</w:t>
            </w:r>
          </w:p>
        </w:tc>
        <w:tc>
          <w:tcPr>
            <w:tcW w:type="dxa" w:w="13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未批准不成交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合规文件索引</w:t>
            </w:r>
          </w:p>
        </w:tc>
        <w:tc>
          <w:tcPr>
            <w:tcW w:type="dxa" w:w="14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document_id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主体、编号、机构、日期、有效期、适用商品、访问权限</w:t>
            </w:r>
          </w:p>
        </w:tc>
        <w:tc>
          <w:tcPr>
            <w:tcW w:type="dxa" w:w="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LC</w:t>
            </w:r>
          </w:p>
        </w:tc>
        <w:tc>
          <w:tcPr>
            <w:tcW w:type="dxa" w:w="11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到期/变化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失效则降级</w:t>
            </w:r>
          </w:p>
        </w:tc>
      </w:tr>
      <w:tr>
        <w:tc>
          <w:tcPr>
            <w:tcW w:type="dxa" w:w="16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内容事实库</w:t>
            </w:r>
          </w:p>
        </w:tc>
        <w:tc>
          <w:tcPr>
            <w:tcW w:type="dxa" w:w="14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fact_id</w:t>
            </w:r>
          </w:p>
        </w:tc>
        <w:tc>
          <w:tcPr>
            <w:tcW w:type="dxa" w:w="28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批准表述、来源、适用商品、渠道、版本、批准人</w:t>
            </w:r>
          </w:p>
        </w:tc>
        <w:tc>
          <w:tcPr>
            <w:tcW w:type="dxa" w:w="9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BR/CN</w:t>
            </w:r>
          </w:p>
        </w:tc>
        <w:tc>
          <w:tcPr>
            <w:tcW w:type="dxa" w:w="11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变化时</w:t>
            </w:r>
          </w:p>
        </w:tc>
        <w:tc>
          <w:tcPr>
            <w:tcW w:type="dxa" w:w="13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无来源不发布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禁止表达库</w:t>
            </w:r>
          </w:p>
        </w:tc>
        <w:tc>
          <w:tcPr>
            <w:tcW w:type="dxa" w:w="14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restriction_id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风险表达、适用范围、原因、替代处理</w:t>
            </w:r>
          </w:p>
        </w:tc>
        <w:tc>
          <w:tcPr>
            <w:tcW w:type="dxa" w:w="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LC/OP</w:t>
            </w:r>
          </w:p>
        </w:tc>
        <w:tc>
          <w:tcPr>
            <w:tcW w:type="dxa" w:w="11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政策变化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命中则阻断</w:t>
            </w:r>
          </w:p>
        </w:tc>
      </w:tr>
      <w:tr>
        <w:tc>
          <w:tcPr>
            <w:tcW w:type="dxa" w:w="16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FAQ知识库</w:t>
            </w:r>
          </w:p>
        </w:tc>
        <w:tc>
          <w:tcPr>
            <w:tcW w:type="dxa" w:w="14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faq_id</w:t>
            </w:r>
          </w:p>
        </w:tc>
        <w:tc>
          <w:tcPr>
            <w:tcW w:type="dxa" w:w="28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问题、批准答复、引用版本、接管条件</w:t>
            </w:r>
          </w:p>
        </w:tc>
        <w:tc>
          <w:tcPr>
            <w:tcW w:type="dxa" w:w="9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OP</w:t>
            </w:r>
          </w:p>
        </w:tc>
        <w:tc>
          <w:tcPr>
            <w:tcW w:type="dxa" w:w="11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每周/变化</w:t>
            </w:r>
          </w:p>
        </w:tc>
        <w:tc>
          <w:tcPr>
            <w:tcW w:type="dxa" w:w="13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未知则转人工</w:t>
            </w:r>
          </w:p>
        </w:tc>
      </w:tr>
      <w:tr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真实案例库</w:t>
            </w:r>
          </w:p>
        </w:tc>
        <w:tc>
          <w:tcPr>
            <w:tcW w:type="dxa" w:w="14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case_id</w:t>
            </w:r>
          </w:p>
        </w:tc>
        <w:tc>
          <w:tcPr>
            <w:tcW w:type="dxa" w:w="2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合作类型、商品、结果、证据、公开授权</w:t>
            </w:r>
          </w:p>
        </w:tc>
        <w:tc>
          <w:tcPr>
            <w:tcW w:type="dxa" w:w="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CN/NS</w:t>
            </w:r>
          </w:p>
        </w:tc>
        <w:tc>
          <w:tcPr>
            <w:tcW w:type="dxa" w:w="11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发生时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无授权不公开</w:t>
            </w:r>
          </w:p>
        </w:tc>
      </w:tr>
      <w:tr>
        <w:tc>
          <w:tcPr>
            <w:tcW w:type="dxa" w:w="163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变更记录表</w:t>
            </w:r>
          </w:p>
        </w:tc>
        <w:tc>
          <w:tcPr>
            <w:tcW w:type="dxa" w:w="14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change_id</w:t>
            </w:r>
          </w:p>
        </w:tc>
        <w:tc>
          <w:tcPr>
            <w:tcW w:type="dxa" w:w="283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原值、新值、生效、影响、操作人、批准人、通知</w:t>
            </w:r>
          </w:p>
        </w:tc>
        <w:tc>
          <w:tcPr>
            <w:tcW w:type="dxa" w:w="90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AI</w:t>
            </w:r>
          </w:p>
        </w:tc>
        <w:tc>
          <w:tcPr>
            <w:tcW w:type="dxa" w:w="11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每次变化</w:t>
            </w:r>
          </w:p>
        </w:tc>
        <w:tc>
          <w:tcPr>
            <w:tcW w:type="dxa" w:w="139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记录不可删除</w:t>
            </w:r>
          </w:p>
        </w:tc>
      </w:tr>
    </w:tbl>
    <w:p>
      <w:pPr>
        <w:spacing w:after="40"/>
      </w:pPr>
    </w:p>
    <w:p>
      <w:pPr>
        <w:pStyle w:val="Heading1"/>
      </w:pPr>
      <w:r>
        <w:t>同步优先级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824"/>
        <w:gridCol w:w="1728"/>
        <w:gridCol w:w="1584"/>
      </w:tblGrid>
      <w:tr>
        <w:trPr>
          <w:tblHeader w:val="true"/>
        </w:trPr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8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失败回退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库存、缺货、紧急价格、配送异常、订单、停售、许可失效、召回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实时或15分钟内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停止自动承诺并转人工</w:t>
            </w:r>
          </w:p>
        </w:tc>
      </w:tr>
      <w:tr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48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入库、出库、在途、临期、配送能力、售后、退款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每日/节点后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标记延迟并通知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P2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商品资料、活动、达人政策、合规文件、素材、FAQ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每周/变更时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保留旧版并标过期</w:t>
            </w:r>
          </w:p>
        </w:tc>
      </w:tr>
    </w:tbl>
    <w:p>
      <w:pPr>
        <w:spacing w:after="40"/>
      </w:pPr>
    </w:p>
    <w:p>
      <w:pPr>
        <w:pStyle w:val="Heading1"/>
      </w:pPr>
      <w:r>
        <w:t>Excel起步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320"/>
        <w:gridCol w:w="1008"/>
        <w:gridCol w:w="1800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适用条件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成本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风险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SKU少、单仓、人工更新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以本套DOCX作为合作确认源；由技术人员转入受控表格；价格和库存设置版本与锁定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低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多人同时改、权限弱、同步延迟</w:t>
            </w:r>
          </w:p>
        </w:tc>
      </w:tr>
    </w:tbl>
    <w:p>
      <w:pPr>
        <w:spacing w:after="40"/>
      </w:pPr>
    </w:p>
    <w:p>
      <w:pPr>
        <w:pStyle w:val="Heading1"/>
      </w:pPr>
      <w:r>
        <w:t>数据库过渡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320"/>
        <w:gridCol w:w="1008"/>
        <w:gridCol w:w="1800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适用条件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成本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风险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多SKU、多渠道、多仓、每日订单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建立商品、价格、库存、订单、文件和审批关系；按角色授权；保留历史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需要数据迁移、接口和运维</w:t>
            </w:r>
          </w:p>
        </w:tc>
      </w:tr>
    </w:tbl>
    <w:p>
      <w:pPr>
        <w:spacing w:after="40"/>
      </w:pPr>
    </w:p>
    <w:p>
      <w:pPr>
        <w:pStyle w:val="Heading1"/>
      </w:pPr>
      <w:r>
        <w:t>API成熟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320"/>
        <w:gridCol w:w="1008"/>
        <w:gridCol w:w="1800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适用条件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成本</w:t>
            </w:r>
          </w:p>
        </w:tc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风险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仓库、收款、配送和平台均有稳定接口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事件驱动同步；签名校验；幂等更新；监控延迟；自动回退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外部接口变化、权限和故障传播</w:t>
            </w:r>
          </w:p>
        </w:tc>
      </w:tr>
    </w:tbl>
    <w:p>
      <w:pPr>
        <w:spacing w:after="40"/>
      </w:pPr>
    </w:p>
    <w:p>
      <w:pPr>
        <w:pStyle w:val="Heading1"/>
      </w:pPr>
      <w:r>
        <w:t>JSON示例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示例  </w:t>
      </w:r>
      <w:r>
        <w:rPr>
          <w:rFonts w:ascii="Hiragino Sans GB" w:hAnsi="Hiragino Sans GB" w:eastAsia="Hiragino Sans GB"/>
          <w:color w:val="1F2937"/>
          <w:sz w:val="21"/>
        </w:rPr>
        <w:t>{ "sku_id": "SF-SHR-001", "data_version": "v3", "price_npr": 0, "price_status": "待提供", "sellable_stock": 0, "inventory_status": "待提供", "delivery_status": "待提供", "approved_by": "", "updated_at": "2026-07-27T18:00:00+05:45" }</w:t>
      </w:r>
    </w:p>
    <w:p>
      <w:r>
        <w:rPr>
          <w:rFonts w:ascii="Hiragino Sans GB" w:hAnsi="Hiragino Sans GB" w:eastAsia="Hiragino Sans GB"/>
          <w:color w:val="1F2937"/>
          <w:sz w:val="21"/>
        </w:rPr>
        <w:t>示例中的0不是可销售价格或库存；状态仍为“待提供”，系统必须阻断报价和成交。</w:t>
      </w:r>
    </w:p>
    <w:p>
      <w:pPr>
        <w:pStyle w:val="Heading1"/>
      </w:pPr>
      <w:r>
        <w:t>权限与历史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448"/>
        <w:gridCol w:w="2880"/>
        <w:gridCol w:w="2088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可读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可改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可批准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供应负责人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商品与供货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商品草稿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商品真实性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仓库负责人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库存与订单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库存、批次、配送状态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出库与隔离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销售主体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价格、订单、售后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价格与规则草稿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价格、退款、特殊政策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批准后的事实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内容、FAQ和CRM草稿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线上发布与一般回复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AI系统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授权范围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只写建议、日志和状态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无现实动作批准权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系统管理员</w:t>
            </w:r>
          </w:p>
        </w:tc>
        <w:tc>
          <w:tcPr>
            <w:tcW w:type="dxa" w:w="24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系统配置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权限与接口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不替代业务批准</w:t>
            </w:r>
          </w:p>
        </w:tc>
      </w:tr>
    </w:tbl>
    <w:p>
      <w:pPr>
        <w:spacing w:after="40"/>
      </w:pPr>
    </w:p>
    <w:p>
      <w:pPr>
        <w:pStyle w:val="Heading1"/>
      </w:pPr>
      <w:r>
        <w:t>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价格过期自动停止报价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库存为零自动关闭购买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合规文件到期自动降级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未知问题自动转人工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历史版本可回看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未授权人员不能改价、发布或退款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24项模拟测试全部留痕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13_AI数据接口与同步规范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