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SLA响应时限与变更通知机制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价格、库存、订单、售后、质量、许可和包装变化的明确时限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SLA说明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响应时限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变更通知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超时处理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签字确认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SLA说明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开始计时  </w:t>
      </w:r>
      <w:r>
        <w:rPr>
          <w:rFonts w:ascii="Hiragino Sans GB" w:hAnsi="Hiragino Sans GB" w:eastAsia="Hiragino Sans GB"/>
          <w:color w:val="1F2937"/>
          <w:sz w:val="21"/>
        </w:rPr>
        <w:t>以系统、邮件或双方认可的工作群收到完整信息为开始。聊天中的口头回复应在1个工作日内补录到本DOCX或系统；高风险事件不等补录才处理。</w:t>
      </w:r>
    </w:p>
    <w:p>
      <w:pPr>
        <w:pStyle w:val="Heading1"/>
      </w:pPr>
      <w:r>
        <w:t>响应时限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5"/>
        <w:gridCol w:w="2014"/>
        <w:gridCol w:w="1852"/>
        <w:gridCol w:w="2658"/>
        <w:gridCol w:w="1772"/>
        <w:gridCol w:w="2014"/>
        <w:gridCol w:w="1691"/>
      </w:tblGrid>
      <w:tr>
        <w:trPr>
          <w:tblHeader w:val="true"/>
        </w:trPr>
        <w:tc>
          <w:tcPr>
            <w:tcW w:type="dxa" w:w="22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事项</w:t>
            </w:r>
          </w:p>
        </w:tc>
        <w:tc>
          <w:tcPr>
            <w:tcW w:type="dxa" w:w="20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目标时限</w:t>
            </w:r>
          </w:p>
        </w:tc>
        <w:tc>
          <w:tcPr>
            <w:tcW w:type="dxa" w:w="18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主责</w:t>
            </w:r>
          </w:p>
        </w:tc>
        <w:tc>
          <w:tcPr>
            <w:tcW w:type="dxa" w:w="265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超时升级</w:t>
            </w:r>
          </w:p>
        </w:tc>
        <w:tc>
          <w:tcPr>
            <w:tcW w:type="dxa" w:w="17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备用负责人</w:t>
            </w:r>
          </w:p>
        </w:tc>
        <w:tc>
          <w:tcPr>
            <w:tcW w:type="dxa" w:w="20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确认方式</w:t>
            </w:r>
          </w:p>
        </w:tc>
        <w:tc>
          <w:tcPr>
            <w:tcW w:type="dxa" w:w="169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当前接受</w:t>
            </w:r>
          </w:p>
        </w:tc>
      </w:tr>
      <w:tr>
        <w:tc>
          <w:tcPr>
            <w:tcW w:type="dxa" w:w="2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一般资料问题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4个工作小时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线上运营团队</w:t>
            </w:r>
          </w:p>
        </w:tc>
        <w:tc>
          <w:tcPr>
            <w:tcW w:type="dxa" w:w="2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当日未解决升级项目负责人</w:t>
            </w:r>
          </w:p>
        </w:tc>
        <w:tc>
          <w:tcPr>
            <w:tcW w:type="dxa" w:w="1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  <w:tr>
        <w:tc>
          <w:tcPr>
            <w:tcW w:type="dxa" w:w="22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紧急合规或质量问题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15分钟确认收到</w:t>
            </w:r>
          </w:p>
        </w:tc>
        <w:tc>
          <w:tcPr>
            <w:tcW w:type="dxa" w:w="18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NI/NS/CN</w:t>
            </w:r>
          </w:p>
        </w:tc>
        <w:tc>
          <w:tcPr>
            <w:tcW w:type="dxa" w:w="26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30分钟升级决策组</w:t>
            </w:r>
          </w:p>
        </w:tc>
        <w:tc>
          <w:tcPr>
            <w:tcW w:type="dxa" w:w="17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  <w:tr>
        <w:tc>
          <w:tcPr>
            <w:tcW w:type="dxa" w:w="2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价格审批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4个工作小时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尼泊尔销售与收款主体</w:t>
            </w:r>
          </w:p>
        </w:tc>
        <w:tc>
          <w:tcPr>
            <w:tcW w:type="dxa" w:w="2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超时停止报价</w:t>
            </w:r>
          </w:p>
        </w:tc>
        <w:tc>
          <w:tcPr>
            <w:tcW w:type="dxa" w:w="1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  <w:tr>
        <w:tc>
          <w:tcPr>
            <w:tcW w:type="dxa" w:w="22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B2B正式报价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资料齐全后4个工作小时</w:t>
            </w:r>
          </w:p>
        </w:tc>
        <w:tc>
          <w:tcPr>
            <w:tcW w:type="dxa" w:w="18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NS/OP</w:t>
            </w:r>
          </w:p>
        </w:tc>
        <w:tc>
          <w:tcPr>
            <w:tcW w:type="dxa" w:w="26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超时通知采购单位</w:t>
            </w:r>
          </w:p>
        </w:tc>
        <w:tc>
          <w:tcPr>
            <w:tcW w:type="dxa" w:w="17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  <w:tr>
        <w:tc>
          <w:tcPr>
            <w:tcW w:type="dxa" w:w="2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库存确认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15分钟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尼泊尔仓储与履约团队</w:t>
            </w:r>
          </w:p>
        </w:tc>
        <w:tc>
          <w:tcPr>
            <w:tcW w:type="dxa" w:w="2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超时停止承诺</w:t>
            </w:r>
          </w:p>
        </w:tc>
        <w:tc>
          <w:tcPr>
            <w:tcW w:type="dxa" w:w="1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  <w:tr>
        <w:tc>
          <w:tcPr>
            <w:tcW w:type="dxa" w:w="22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大额与特殊政策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1个工作日</w:t>
            </w:r>
          </w:p>
        </w:tc>
        <w:tc>
          <w:tcPr>
            <w:tcW w:type="dxa" w:w="18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尼泊尔销售与收款主体</w:t>
            </w:r>
          </w:p>
        </w:tc>
        <w:tc>
          <w:tcPr>
            <w:tcW w:type="dxa" w:w="26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超时维持标准政策</w:t>
            </w:r>
          </w:p>
        </w:tc>
        <w:tc>
          <w:tcPr>
            <w:tcW w:type="dxa" w:w="17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  <w:tr>
        <w:tc>
          <w:tcPr>
            <w:tcW w:type="dxa" w:w="2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订单确认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15分钟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NS/WH</w:t>
            </w:r>
          </w:p>
        </w:tc>
        <w:tc>
          <w:tcPr>
            <w:tcW w:type="dxa" w:w="2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超时标记异常</w:t>
            </w:r>
          </w:p>
        </w:tc>
        <w:tc>
          <w:tcPr>
            <w:tcW w:type="dxa" w:w="1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  <w:tr>
        <w:tc>
          <w:tcPr>
            <w:tcW w:type="dxa" w:w="22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出库状态更新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每次节点后15分钟</w:t>
            </w:r>
          </w:p>
        </w:tc>
        <w:tc>
          <w:tcPr>
            <w:tcW w:type="dxa" w:w="18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尼泊尔仓储与履约团队</w:t>
            </w:r>
          </w:p>
        </w:tc>
        <w:tc>
          <w:tcPr>
            <w:tcW w:type="dxa" w:w="26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超时通知订单负责人</w:t>
            </w:r>
          </w:p>
        </w:tc>
        <w:tc>
          <w:tcPr>
            <w:tcW w:type="dxa" w:w="17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  <w:tr>
        <w:tc>
          <w:tcPr>
            <w:tcW w:type="dxa" w:w="2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配送异常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发现后15分钟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LG/WH</w:t>
            </w:r>
          </w:p>
        </w:tc>
        <w:tc>
          <w:tcPr>
            <w:tcW w:type="dxa" w:w="2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30分钟通知相关方</w:t>
            </w:r>
          </w:p>
        </w:tc>
        <w:tc>
          <w:tcPr>
            <w:tcW w:type="dxa" w:w="1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  <w:tr>
        <w:tc>
          <w:tcPr>
            <w:tcW w:type="dxa" w:w="22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售后首次响应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2小时</w:t>
            </w:r>
          </w:p>
        </w:tc>
        <w:tc>
          <w:tcPr>
            <w:tcW w:type="dxa" w:w="18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NS/OP</w:t>
            </w:r>
          </w:p>
        </w:tc>
        <w:tc>
          <w:tcPr>
            <w:tcW w:type="dxa" w:w="26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高风险15分钟</w:t>
            </w:r>
          </w:p>
        </w:tc>
        <w:tc>
          <w:tcPr>
            <w:tcW w:type="dxa" w:w="17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  <w:tr>
        <w:tc>
          <w:tcPr>
            <w:tcW w:type="dxa" w:w="2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退款批准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1个工作日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尼泊尔销售与收款主体</w:t>
            </w:r>
          </w:p>
        </w:tc>
        <w:tc>
          <w:tcPr>
            <w:tcW w:type="dxa" w:w="2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超时升级财务负责人</w:t>
            </w:r>
          </w:p>
        </w:tc>
        <w:tc>
          <w:tcPr>
            <w:tcW w:type="dxa" w:w="1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  <w:tr>
        <w:tc>
          <w:tcPr>
            <w:tcW w:type="dxa" w:w="22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退款执行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批准后2个工作日</w:t>
            </w:r>
          </w:p>
        </w:tc>
        <w:tc>
          <w:tcPr>
            <w:tcW w:type="dxa" w:w="18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NS/PY</w:t>
            </w:r>
          </w:p>
        </w:tc>
        <w:tc>
          <w:tcPr>
            <w:tcW w:type="dxa" w:w="26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失败当日说明</w:t>
            </w:r>
          </w:p>
        </w:tc>
        <w:tc>
          <w:tcPr>
            <w:tcW w:type="dxa" w:w="17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  <w:tr>
        <w:tc>
          <w:tcPr>
            <w:tcW w:type="dxa" w:w="2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重大质量问题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15分钟隔离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CN/WH/NI</w:t>
            </w:r>
          </w:p>
        </w:tc>
        <w:tc>
          <w:tcPr>
            <w:tcW w:type="dxa" w:w="2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30分钟启动调查</w:t>
            </w:r>
          </w:p>
        </w:tc>
        <w:tc>
          <w:tcPr>
            <w:tcW w:type="dxa" w:w="1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  <w:tr>
        <w:tc>
          <w:tcPr>
            <w:tcW w:type="dxa" w:w="22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召回决定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证据确认后1小时</w:t>
            </w:r>
          </w:p>
        </w:tc>
        <w:tc>
          <w:tcPr>
            <w:tcW w:type="dxa" w:w="18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尼泊尔进口主体</w:t>
            </w:r>
          </w:p>
        </w:tc>
        <w:tc>
          <w:tcPr>
            <w:tcW w:type="dxa" w:w="26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立即停售并通知</w:t>
            </w:r>
          </w:p>
        </w:tc>
        <w:tc>
          <w:tcPr>
            <w:tcW w:type="dxa" w:w="17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  <w:tr>
        <w:tc>
          <w:tcPr>
            <w:tcW w:type="dxa" w:w="2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许可或授权失效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提前60日通知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LC/BR/NI/NS</w:t>
            </w:r>
          </w:p>
        </w:tc>
        <w:tc>
          <w:tcPr>
            <w:tcW w:type="dxa" w:w="2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无法续期则到期前下架</w:t>
            </w:r>
          </w:p>
        </w:tc>
        <w:tc>
          <w:tcPr>
            <w:tcW w:type="dxa" w:w="1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  <w:tr>
        <w:tc>
          <w:tcPr>
            <w:tcW w:type="dxa" w:w="22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包装或标签变化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生产前30日</w:t>
            </w:r>
          </w:p>
        </w:tc>
        <w:tc>
          <w:tcPr>
            <w:tcW w:type="dxa" w:w="18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中国产品供应方</w:t>
            </w:r>
          </w:p>
        </w:tc>
        <w:tc>
          <w:tcPr>
            <w:tcW w:type="dxa" w:w="26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未通过不得发货</w:t>
            </w:r>
          </w:p>
        </w:tc>
        <w:tc>
          <w:tcPr>
            <w:tcW w:type="dxa" w:w="17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  <w:tr>
        <w:tc>
          <w:tcPr>
            <w:tcW w:type="dxa" w:w="2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停产或计划缺货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已知后24小时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中国产品供应方</w:t>
            </w:r>
          </w:p>
        </w:tc>
        <w:tc>
          <w:tcPr>
            <w:tcW w:type="dxa" w:w="26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更新内容、报价和库存</w:t>
            </w:r>
          </w:p>
        </w:tc>
        <w:tc>
          <w:tcPr>
            <w:tcW w:type="dxa" w:w="1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  <w:tr>
        <w:tc>
          <w:tcPr>
            <w:tcW w:type="dxa" w:w="22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紧急价格变化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生效前4小时；特殊情况立即</w:t>
            </w:r>
          </w:p>
        </w:tc>
        <w:tc>
          <w:tcPr>
            <w:tcW w:type="dxa" w:w="18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CN/NS</w:t>
            </w:r>
          </w:p>
        </w:tc>
        <w:tc>
          <w:tcPr>
            <w:tcW w:type="dxa" w:w="265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旧价自动失效</w:t>
            </w:r>
          </w:p>
        </w:tc>
        <w:tc>
          <w:tcPr>
            <w:tcW w:type="dxa" w:w="17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________________</w:t>
            </w:r>
          </w:p>
        </w:tc>
        <w:tc>
          <w:tcPr>
            <w:tcW w:type="dxa" w:w="20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时间戳＋处理记录</w:t>
            </w:r>
          </w:p>
        </w:tc>
        <w:tc>
          <w:tcPr>
            <w:tcW w:type="dxa" w:w="16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□同意 / □调整</w:t>
            </w:r>
          </w:p>
        </w:tc>
      </w:tr>
    </w:tbl>
    <w:p>
      <w:pPr>
        <w:spacing w:after="40"/>
      </w:pPr>
    </w:p>
    <w:p>
      <w:pPr>
        <w:pStyle w:val="Heading1"/>
      </w:pPr>
      <w:r>
        <w:t>变更通知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154"/>
        <w:gridCol w:w="9102"/>
      </w:tblGrid>
      <w:tr>
        <w:trPr>
          <w:tblHeader w:val="true"/>
        </w:trPr>
        <w:tc>
          <w:tcPr>
            <w:tcW w:type="dxa" w:w="515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必须记录</w:t>
            </w:r>
          </w:p>
        </w:tc>
        <w:tc>
          <w:tcPr>
            <w:tcW w:type="dxa" w:w="910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填写</w:t>
            </w:r>
          </w:p>
        </w:tc>
      </w:tr>
      <w:tr>
        <w:tc>
          <w:tcPr>
            <w:tcW w:type="dxa" w:w="5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变更内容</w:t>
            </w:r>
          </w:p>
        </w:tc>
        <w:tc>
          <w:tcPr>
            <w:tcW w:type="dxa" w:w="9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515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原值</w:t>
            </w:r>
          </w:p>
        </w:tc>
        <w:tc>
          <w:tcPr>
            <w:tcW w:type="dxa" w:w="91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5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新值</w:t>
            </w:r>
          </w:p>
        </w:tc>
        <w:tc>
          <w:tcPr>
            <w:tcW w:type="dxa" w:w="9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515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生效时间</w:t>
            </w:r>
          </w:p>
        </w:tc>
        <w:tc>
          <w:tcPr>
            <w:tcW w:type="dxa" w:w="91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5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影响SKU</w:t>
            </w:r>
          </w:p>
        </w:tc>
        <w:tc>
          <w:tcPr>
            <w:tcW w:type="dxa" w:w="9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515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影响平台与渠道</w:t>
            </w:r>
          </w:p>
        </w:tc>
        <w:tc>
          <w:tcPr>
            <w:tcW w:type="dxa" w:w="91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5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影响采购单位或购买者</w:t>
            </w:r>
          </w:p>
        </w:tc>
        <w:tc>
          <w:tcPr>
            <w:tcW w:type="dxa" w:w="9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515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是否下架/停投/改内容/通知</w:t>
            </w:r>
          </w:p>
        </w:tc>
        <w:tc>
          <w:tcPr>
            <w:tcW w:type="dxa" w:w="910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5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操作人、批准人和备用人员</w:t>
            </w:r>
          </w:p>
        </w:tc>
        <w:tc>
          <w:tcPr>
            <w:tcW w:type="dxa" w:w="9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超时处理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7"/>
        <w:gridCol w:w="4935"/>
        <w:gridCol w:w="5264"/>
      </w:tblGrid>
      <w:tr>
        <w:trPr>
          <w:tblHeader w:val="true"/>
        </w:trPr>
        <w:tc>
          <w:tcPr>
            <w:tcW w:type="dxa" w:w="405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超时类型</w:t>
            </w:r>
          </w:p>
        </w:tc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自动处理</w:t>
            </w:r>
          </w:p>
        </w:tc>
        <w:tc>
          <w:tcPr>
            <w:tcW w:type="dxa" w:w="52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人工处理</w:t>
            </w:r>
          </w:p>
        </w:tc>
      </w:tr>
      <w:tr>
        <w:tc>
          <w:tcPr>
            <w:tcW w:type="dxa" w:w="4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价格或库存确认超时</w:t>
            </w:r>
          </w:p>
        </w:tc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停止报价与下单</w:t>
            </w:r>
          </w:p>
        </w:tc>
        <w:tc>
          <w:tcPr>
            <w:tcW w:type="dxa" w:w="5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销售和仓库负责人确认</w:t>
            </w:r>
          </w:p>
        </w:tc>
      </w:tr>
      <w:tr>
        <w:tc>
          <w:tcPr>
            <w:tcW w:type="dxa" w:w="405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许可或授权通知超时</w:t>
            </w:r>
          </w:p>
        </w:tc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相关商品降级为阻断</w:t>
            </w:r>
          </w:p>
        </w:tc>
        <w:tc>
          <w:tcPr>
            <w:tcW w:type="dxa" w:w="52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合规与主体负责人处理</w:t>
            </w:r>
          </w:p>
        </w:tc>
      </w:tr>
      <w:tr>
        <w:tc>
          <w:tcPr>
            <w:tcW w:type="dxa" w:w="4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订单或配送更新超时</w:t>
            </w:r>
          </w:p>
        </w:tc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标记异常，不承诺送达</w:t>
            </w:r>
          </w:p>
        </w:tc>
        <w:tc>
          <w:tcPr>
            <w:tcW w:type="dxa" w:w="5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仓库和物流调查</w:t>
            </w:r>
          </w:p>
        </w:tc>
      </w:tr>
      <w:tr>
        <w:tc>
          <w:tcPr>
            <w:tcW w:type="dxa" w:w="405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售后或退款超时</w:t>
            </w:r>
          </w:p>
        </w:tc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升级项目与财务负责人</w:t>
            </w:r>
          </w:p>
        </w:tc>
        <w:tc>
          <w:tcPr>
            <w:tcW w:type="dxa" w:w="52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说明原因和新时限</w:t>
            </w:r>
          </w:p>
        </w:tc>
      </w:tr>
      <w:tr>
        <w:tc>
          <w:tcPr>
            <w:tcW w:type="dxa" w:w="4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重大质量或召回超时</w:t>
            </w:r>
          </w:p>
        </w:tc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立即停卖、停投并扩大隔离</w:t>
            </w:r>
          </w:p>
        </w:tc>
        <w:tc>
          <w:tcPr>
            <w:tcW w:type="dxa" w:w="5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决策组接管</w:t>
            </w:r>
          </w:p>
        </w:tc>
      </w:tr>
    </w:tbl>
    <w:p>
      <w:pPr>
        <w:spacing w:after="40"/>
      </w:pPr>
    </w:p>
    <w:p>
      <w:pPr>
        <w:pStyle w:val="Heading1"/>
      </w:pPr>
      <w:r>
        <w:t>SLA确认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3180"/>
        <w:gridCol w:w="2632"/>
        <w:gridCol w:w="3180"/>
        <w:gridCol w:w="2303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16_SLA响应时限与变更通知机制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