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Hiragino Sans GB" w:hAnsi="Hiragino Sans GB" w:eastAsia="Hiragino Sans GB"/>
          <w:b/>
          <w:color w:val="1F4D78"/>
          <w:sz w:val="46"/>
        </w:rPr>
        <w:t>异常_客诉_召回应急机制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汾酒与海鲜的触发、人工接管、负责人、停售、停投、通知、赔付和复盘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应急原则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异常矩阵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AI与人工边界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证据和对外说明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复盘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签字确认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应急原则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行动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先保护人身与食品安全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停止受影响商品、批次、内容或广告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隔离库存与订单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保留照片、视频、温控、批次、付款和会话证据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由最终负责人决定退款、补发、召回或赔付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统一人工说明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修复事实源、流程与权限后再恢复</w:t>
            </w:r>
          </w:p>
        </w:tc>
      </w:tr>
    </w:tbl>
    <w:p>
      <w:pPr>
        <w:spacing w:after="40"/>
      </w:pPr>
    </w:p>
    <w:p>
      <w:pPr>
        <w:pStyle w:val="Heading1"/>
      </w:pPr>
      <w:r>
        <w:t>异常矩阵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95"/>
        <w:gridCol w:w="1333"/>
        <w:gridCol w:w="1623"/>
        <w:gridCol w:w="811"/>
        <w:gridCol w:w="1159"/>
        <w:gridCol w:w="1159"/>
        <w:gridCol w:w="1796"/>
        <w:gridCol w:w="1333"/>
        <w:gridCol w:w="1159"/>
        <w:gridCol w:w="869"/>
        <w:gridCol w:w="1333"/>
        <w:gridCol w:w="986"/>
      </w:tblGrid>
      <w:tr>
        <w:trPr>
          <w:tblHeader w:val="true"/>
        </w:trPr>
        <w:tc>
          <w:tcPr>
            <w:tcW w:type="dxa" w:w="69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项目</w:t>
            </w:r>
          </w:p>
        </w:tc>
        <w:tc>
          <w:tcPr>
            <w:tcW w:type="dxa" w:w="133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异常</w:t>
            </w:r>
          </w:p>
        </w:tc>
        <w:tc>
          <w:tcPr>
            <w:tcW w:type="dxa" w:w="162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触发</w:t>
            </w:r>
          </w:p>
        </w:tc>
        <w:tc>
          <w:tcPr>
            <w:tcW w:type="dxa" w:w="81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AI可处理</w:t>
            </w:r>
          </w:p>
        </w:tc>
        <w:tc>
          <w:tcPr>
            <w:tcW w:type="dxa" w:w="115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第一负责人</w:t>
            </w:r>
          </w:p>
        </w:tc>
        <w:tc>
          <w:tcPr>
            <w:tcW w:type="dxa" w:w="115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最终负责</w:t>
            </w:r>
          </w:p>
        </w:tc>
        <w:tc>
          <w:tcPr>
            <w:tcW w:type="dxa" w:w="17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立即动作</w:t>
            </w:r>
          </w:p>
        </w:tc>
        <w:tc>
          <w:tcPr>
            <w:tcW w:type="dxa" w:w="133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转人工</w:t>
            </w:r>
          </w:p>
        </w:tc>
        <w:tc>
          <w:tcPr>
            <w:tcW w:type="dxa" w:w="115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下架/停投</w:t>
            </w:r>
          </w:p>
        </w:tc>
        <w:tc>
          <w:tcPr>
            <w:tcW w:type="dxa" w:w="86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通知全部</w:t>
            </w:r>
          </w:p>
        </w:tc>
        <w:tc>
          <w:tcPr>
            <w:tcW w:type="dxa" w:w="133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退款/赔付</w:t>
            </w:r>
          </w:p>
        </w:tc>
        <w:tc>
          <w:tcPr>
            <w:tcW w:type="dxa" w:w="98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复盘</w:t>
            </w:r>
          </w:p>
        </w:tc>
      </w:tr>
      <w:tr>
        <w:tc>
          <w:tcPr>
            <w:tcW w:type="dxa" w:w="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汾酒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内容审核失败</w:t>
            </w:r>
          </w:p>
        </w:tc>
        <w:tc>
          <w:tcPr>
            <w:tcW w:type="dxa" w:w="1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平台驳回或限制</w:t>
            </w:r>
          </w:p>
        </w:tc>
        <w:tc>
          <w:tcPr>
            <w:tcW w:type="dxa" w:w="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否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平台与广告账户主体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平台与广告账户主体</w:t>
            </w:r>
          </w:p>
        </w:tc>
        <w:tc>
          <w:tcPr>
            <w:tcW w:type="dxa" w:w="17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暂停发布并保存原因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涉及安全、质量、许可、资金、舆情时立即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证据齐全前保持暂停</w:t>
            </w:r>
          </w:p>
        </w:tc>
        <w:tc>
          <w:tcPr>
            <w:tcW w:type="dxa" w:w="8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必要时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按已批准规则；例外需最终负责人</w:t>
            </w:r>
          </w:p>
        </w:tc>
        <w:tc>
          <w:tcPr>
            <w:tcW w:type="dxa" w:w="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事件结束后2个工作日</w:t>
            </w:r>
          </w:p>
        </w:tc>
      </w:tr>
      <w:tr>
        <w:tc>
          <w:tcPr>
            <w:tcW w:type="dxa" w:w="6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汾酒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广告驳回</w:t>
            </w:r>
          </w:p>
        </w:tc>
        <w:tc>
          <w:tcPr>
            <w:tcW w:type="dxa" w:w="162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广告状态被拒</w:t>
            </w:r>
          </w:p>
        </w:tc>
        <w:tc>
          <w:tcPr>
            <w:tcW w:type="dxa" w:w="8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否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平台与广告账户主体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尼泊尔销售与收款主体</w:t>
            </w:r>
          </w:p>
        </w:tc>
        <w:tc>
          <w:tcPr>
            <w:tcW w:type="dxa" w:w="17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停投并复核法律与行业资格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涉及安全、质量、许可、资金、舆情时立即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证据齐全前保持暂停</w:t>
            </w:r>
          </w:p>
        </w:tc>
        <w:tc>
          <w:tcPr>
            <w:tcW w:type="dxa" w:w="8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是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按已批准规则；例外需最终负责人</w:t>
            </w:r>
          </w:p>
        </w:tc>
        <w:tc>
          <w:tcPr>
            <w:tcW w:type="dxa" w:w="9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事件结束后2个工作日</w:t>
            </w:r>
          </w:p>
        </w:tc>
      </w:tr>
      <w:tr>
        <w:tc>
          <w:tcPr>
            <w:tcW w:type="dxa" w:w="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汾酒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账号限制</w:t>
            </w:r>
          </w:p>
        </w:tc>
        <w:tc>
          <w:tcPr>
            <w:tcW w:type="dxa" w:w="1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功能或流量受限</w:t>
            </w:r>
          </w:p>
        </w:tc>
        <w:tc>
          <w:tcPr>
            <w:tcW w:type="dxa" w:w="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否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平台与广告账户主体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平台与广告账户主体</w:t>
            </w:r>
          </w:p>
        </w:tc>
        <w:tc>
          <w:tcPr>
            <w:tcW w:type="dxa" w:w="17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停止新增动作并申诉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涉及安全、质量、许可、资金、舆情时立即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证据齐全前保持暂停</w:t>
            </w:r>
          </w:p>
        </w:tc>
        <w:tc>
          <w:tcPr>
            <w:tcW w:type="dxa" w:w="8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是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按已批准规则；例外需最终负责人</w:t>
            </w:r>
          </w:p>
        </w:tc>
        <w:tc>
          <w:tcPr>
            <w:tcW w:type="dxa" w:w="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事件结束后2个工作日</w:t>
            </w:r>
          </w:p>
        </w:tc>
      </w:tr>
      <w:tr>
        <w:tc>
          <w:tcPr>
            <w:tcW w:type="dxa" w:w="6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汾酒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许可或授权失效</w:t>
            </w:r>
          </w:p>
        </w:tc>
        <w:tc>
          <w:tcPr>
            <w:tcW w:type="dxa" w:w="162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到期、撤销或范围变化</w:t>
            </w:r>
          </w:p>
        </w:tc>
        <w:tc>
          <w:tcPr>
            <w:tcW w:type="dxa" w:w="8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否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尼泊尔合规顾问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尼泊尔销售与收款主体</w:t>
            </w:r>
          </w:p>
        </w:tc>
        <w:tc>
          <w:tcPr>
            <w:tcW w:type="dxa" w:w="17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立即停卖、停投、下架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涉及安全、质量、许可、资金、舆情时立即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证据齐全前保持暂停</w:t>
            </w:r>
          </w:p>
        </w:tc>
        <w:tc>
          <w:tcPr>
            <w:tcW w:type="dxa" w:w="8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是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按已批准规则；例外需最终负责人</w:t>
            </w:r>
          </w:p>
        </w:tc>
        <w:tc>
          <w:tcPr>
            <w:tcW w:type="dxa" w:w="9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事件结束后2个工作日</w:t>
            </w:r>
          </w:p>
        </w:tc>
      </w:tr>
      <w:tr>
        <w:tc>
          <w:tcPr>
            <w:tcW w:type="dxa" w:w="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汾酒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瓶体破损</w:t>
            </w:r>
          </w:p>
        </w:tc>
        <w:tc>
          <w:tcPr>
            <w:tcW w:type="dxa" w:w="1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漏液、碎裂或包装严重损伤</w:t>
            </w:r>
          </w:p>
        </w:tc>
        <w:tc>
          <w:tcPr>
            <w:tcW w:type="dxa" w:w="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仅收证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尼泊尔仓储与履约团队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尼泊尔销售与收款主体</w:t>
            </w:r>
          </w:p>
        </w:tc>
        <w:tc>
          <w:tcPr>
            <w:tcW w:type="dxa" w:w="17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隔离、拍照、退款或补发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涉及安全、质量、许可、资金、舆情时立即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证据齐全前保持暂停</w:t>
            </w:r>
          </w:p>
        </w:tc>
        <w:tc>
          <w:tcPr>
            <w:tcW w:type="dxa" w:w="8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视范围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按已批准规则；例外需最终负责人</w:t>
            </w:r>
          </w:p>
        </w:tc>
        <w:tc>
          <w:tcPr>
            <w:tcW w:type="dxa" w:w="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事件结束后2个工作日</w:t>
            </w:r>
          </w:p>
        </w:tc>
      </w:tr>
      <w:tr>
        <w:tc>
          <w:tcPr>
            <w:tcW w:type="dxa" w:w="6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汾酒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疑似假货</w:t>
            </w:r>
          </w:p>
        </w:tc>
        <w:tc>
          <w:tcPr>
            <w:tcW w:type="dxa" w:w="162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防伪异常或来源质疑</w:t>
            </w:r>
          </w:p>
        </w:tc>
        <w:tc>
          <w:tcPr>
            <w:tcW w:type="dxa" w:w="8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仅收证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汾酒品牌授权方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汾酒品牌授权方</w:t>
            </w:r>
          </w:p>
        </w:tc>
        <w:tc>
          <w:tcPr>
            <w:tcW w:type="dxa" w:w="17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停相关批次并调查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涉及安全、质量、许可、资金、舆情时立即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证据齐全前保持暂停</w:t>
            </w:r>
          </w:p>
        </w:tc>
        <w:tc>
          <w:tcPr>
            <w:tcW w:type="dxa" w:w="8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是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按已批准规则；例外需最终负责人</w:t>
            </w:r>
          </w:p>
        </w:tc>
        <w:tc>
          <w:tcPr>
            <w:tcW w:type="dxa" w:w="9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事件结束后2个工作日</w:t>
            </w:r>
          </w:p>
        </w:tc>
      </w:tr>
      <w:tr>
        <w:tc>
          <w:tcPr>
            <w:tcW w:type="dxa" w:w="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汾酒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价格错误</w:t>
            </w:r>
          </w:p>
        </w:tc>
        <w:tc>
          <w:tcPr>
            <w:tcW w:type="dxa" w:w="1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页面或回复与批准价不一致</w:t>
            </w:r>
          </w:p>
        </w:tc>
        <w:tc>
          <w:tcPr>
            <w:tcW w:type="dxa" w:w="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否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线上运营团队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尼泊尔销售与收款主体</w:t>
            </w:r>
          </w:p>
        </w:tc>
        <w:tc>
          <w:tcPr>
            <w:tcW w:type="dxa" w:w="17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停止报价并人工解释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涉及安全、质量、许可、资金、舆情时立即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证据齐全前保持暂停</w:t>
            </w:r>
          </w:p>
        </w:tc>
        <w:tc>
          <w:tcPr>
            <w:tcW w:type="dxa" w:w="8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视影响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按已批准规则；例外需最终负责人</w:t>
            </w:r>
          </w:p>
        </w:tc>
        <w:tc>
          <w:tcPr>
            <w:tcW w:type="dxa" w:w="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事件结束后2个工作日</w:t>
            </w:r>
          </w:p>
        </w:tc>
      </w:tr>
      <w:tr>
        <w:tc>
          <w:tcPr>
            <w:tcW w:type="dxa" w:w="6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汾酒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库存错误</w:t>
            </w:r>
          </w:p>
        </w:tc>
        <w:tc>
          <w:tcPr>
            <w:tcW w:type="dxa" w:w="162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超卖或批次不符</w:t>
            </w:r>
          </w:p>
        </w:tc>
        <w:tc>
          <w:tcPr>
            <w:tcW w:type="dxa" w:w="8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否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尼泊尔仓储与履约团队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尼泊尔销售与收款主体</w:t>
            </w:r>
          </w:p>
        </w:tc>
        <w:tc>
          <w:tcPr>
            <w:tcW w:type="dxa" w:w="17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锁定受影响订单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涉及安全、质量、许可、资金、舆情时立即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证据齐全前保持暂停</w:t>
            </w:r>
          </w:p>
        </w:tc>
        <w:tc>
          <w:tcPr>
            <w:tcW w:type="dxa" w:w="8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视影响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按已批准规则；例外需最终负责人</w:t>
            </w:r>
          </w:p>
        </w:tc>
        <w:tc>
          <w:tcPr>
            <w:tcW w:type="dxa" w:w="9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事件结束后2个工作日</w:t>
            </w:r>
          </w:p>
        </w:tc>
      </w:tr>
      <w:tr>
        <w:tc>
          <w:tcPr>
            <w:tcW w:type="dxa" w:w="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汾酒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年龄限制问题</w:t>
            </w:r>
          </w:p>
        </w:tc>
        <w:tc>
          <w:tcPr>
            <w:tcW w:type="dxa" w:w="1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疑似未成年人咨询或下单</w:t>
            </w:r>
          </w:p>
        </w:tc>
        <w:tc>
          <w:tcPr>
            <w:tcW w:type="dxa" w:w="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否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尼泊尔销售与收款主体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尼泊尔销售与收款主体</w:t>
            </w:r>
          </w:p>
        </w:tc>
        <w:tc>
          <w:tcPr>
            <w:tcW w:type="dxa" w:w="17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拒绝交易并记录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涉及安全、质量、许可、资金、舆情时立即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证据齐全前保持暂停</w:t>
            </w:r>
          </w:p>
        </w:tc>
        <w:tc>
          <w:tcPr>
            <w:tcW w:type="dxa" w:w="8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否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按已批准规则；例外需最终负责人</w:t>
            </w:r>
          </w:p>
        </w:tc>
        <w:tc>
          <w:tcPr>
            <w:tcW w:type="dxa" w:w="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事件结束后2个工作日</w:t>
            </w:r>
          </w:p>
        </w:tc>
      </w:tr>
      <w:tr>
        <w:tc>
          <w:tcPr>
            <w:tcW w:type="dxa" w:w="6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汾酒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重大舆情</w:t>
            </w:r>
          </w:p>
        </w:tc>
        <w:tc>
          <w:tcPr>
            <w:tcW w:type="dxa" w:w="162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集中投诉或媒体关注</w:t>
            </w:r>
          </w:p>
        </w:tc>
        <w:tc>
          <w:tcPr>
            <w:tcW w:type="dxa" w:w="8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否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线上运营团队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尼泊尔销售与收款主体</w:t>
            </w:r>
          </w:p>
        </w:tc>
        <w:tc>
          <w:tcPr>
            <w:tcW w:type="dxa" w:w="17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暂停内容与统一人工口径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涉及安全、质量、许可、资金、舆情时立即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证据齐全前保持暂停</w:t>
            </w:r>
          </w:p>
        </w:tc>
        <w:tc>
          <w:tcPr>
            <w:tcW w:type="dxa" w:w="8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是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按已批准规则；例外需最终负责人</w:t>
            </w:r>
          </w:p>
        </w:tc>
        <w:tc>
          <w:tcPr>
            <w:tcW w:type="dxa" w:w="9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事件结束后2个工作日</w:t>
            </w:r>
          </w:p>
        </w:tc>
      </w:tr>
      <w:tr>
        <w:tc>
          <w:tcPr>
            <w:tcW w:type="dxa" w:w="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海鲜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缺货</w:t>
            </w:r>
          </w:p>
        </w:tc>
        <w:tc>
          <w:tcPr>
            <w:tcW w:type="dxa" w:w="1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可售库存不足</w:t>
            </w:r>
          </w:p>
        </w:tc>
        <w:tc>
          <w:tcPr>
            <w:tcW w:type="dxa" w:w="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可提示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尼泊尔仓储与履约团队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尼泊尔销售与收款主体</w:t>
            </w:r>
          </w:p>
        </w:tc>
        <w:tc>
          <w:tcPr>
            <w:tcW w:type="dxa" w:w="17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停止下单并给人工替代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涉及安全、质量、许可、资金、舆情时立即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证据齐全前保持暂停</w:t>
            </w:r>
          </w:p>
        </w:tc>
        <w:tc>
          <w:tcPr>
            <w:tcW w:type="dxa" w:w="8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否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按已批准规则；例外需最终负责人</w:t>
            </w:r>
          </w:p>
        </w:tc>
        <w:tc>
          <w:tcPr>
            <w:tcW w:type="dxa" w:w="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事件结束后2个工作日</w:t>
            </w:r>
          </w:p>
        </w:tc>
      </w:tr>
      <w:tr>
        <w:tc>
          <w:tcPr>
            <w:tcW w:type="dxa" w:w="6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海鲜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配送延迟</w:t>
            </w:r>
          </w:p>
        </w:tc>
        <w:tc>
          <w:tcPr>
            <w:tcW w:type="dxa" w:w="162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超过承诺区间</w:t>
            </w:r>
          </w:p>
        </w:tc>
        <w:tc>
          <w:tcPr>
            <w:tcW w:type="dxa" w:w="8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可提示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第三方物流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尼泊尔仓储与履约团队</w:t>
            </w:r>
          </w:p>
        </w:tc>
        <w:tc>
          <w:tcPr>
            <w:tcW w:type="dxa" w:w="17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通知、评估温控与退款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涉及安全、质量、许可、资金、舆情时立即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证据齐全前保持暂停</w:t>
            </w:r>
          </w:p>
        </w:tc>
        <w:tc>
          <w:tcPr>
            <w:tcW w:type="dxa" w:w="8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视风险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按已批准规则；例外需最终负责人</w:t>
            </w:r>
          </w:p>
        </w:tc>
        <w:tc>
          <w:tcPr>
            <w:tcW w:type="dxa" w:w="9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事件结束后2个工作日</w:t>
            </w:r>
          </w:p>
        </w:tc>
      </w:tr>
      <w:tr>
        <w:tc>
          <w:tcPr>
            <w:tcW w:type="dxa" w:w="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海鲜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冷链异常</w:t>
            </w:r>
          </w:p>
        </w:tc>
        <w:tc>
          <w:tcPr>
            <w:tcW w:type="dxa" w:w="1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温度或设备异常</w:t>
            </w:r>
          </w:p>
        </w:tc>
        <w:tc>
          <w:tcPr>
            <w:tcW w:type="dxa" w:w="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否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尼泊尔仓储与履约团队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尼泊尔进口主体</w:t>
            </w:r>
          </w:p>
        </w:tc>
        <w:tc>
          <w:tcPr>
            <w:tcW w:type="dxa" w:w="17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隔离批次并停止配送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涉及安全、质量、许可、资金、舆情时立即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证据齐全前保持暂停</w:t>
            </w:r>
          </w:p>
        </w:tc>
        <w:tc>
          <w:tcPr>
            <w:tcW w:type="dxa" w:w="8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是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按已批准规则；例外需最终负责人</w:t>
            </w:r>
          </w:p>
        </w:tc>
        <w:tc>
          <w:tcPr>
            <w:tcW w:type="dxa" w:w="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事件结束后2个工作日</w:t>
            </w:r>
          </w:p>
        </w:tc>
      </w:tr>
      <w:tr>
        <w:tc>
          <w:tcPr>
            <w:tcW w:type="dxa" w:w="6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海鲜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融化或变质</w:t>
            </w:r>
          </w:p>
        </w:tc>
        <w:tc>
          <w:tcPr>
            <w:tcW w:type="dxa" w:w="162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收货状态不符合标准</w:t>
            </w:r>
          </w:p>
        </w:tc>
        <w:tc>
          <w:tcPr>
            <w:tcW w:type="dxa" w:w="8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仅收证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尼泊尔仓储与履约团队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中国产品供应方</w:t>
            </w:r>
          </w:p>
        </w:tc>
        <w:tc>
          <w:tcPr>
            <w:tcW w:type="dxa" w:w="17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停止食用、保留证据、调查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涉及安全、质量、许可、资金、舆情时立即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证据齐全前保持暂停</w:t>
            </w:r>
          </w:p>
        </w:tc>
        <w:tc>
          <w:tcPr>
            <w:tcW w:type="dxa" w:w="8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视批次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按已批准规则；例外需最终负责人</w:t>
            </w:r>
          </w:p>
        </w:tc>
        <w:tc>
          <w:tcPr>
            <w:tcW w:type="dxa" w:w="9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事件结束后2个工作日</w:t>
            </w:r>
          </w:p>
        </w:tc>
      </w:tr>
      <w:tr>
        <w:tc>
          <w:tcPr>
            <w:tcW w:type="dxa" w:w="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海鲜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裹冰争议</w:t>
            </w:r>
          </w:p>
        </w:tc>
        <w:tc>
          <w:tcPr>
            <w:tcW w:type="dxa" w:w="1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实测与说明不符</w:t>
            </w:r>
          </w:p>
        </w:tc>
        <w:tc>
          <w:tcPr>
            <w:tcW w:type="dxa" w:w="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仅收证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中国产品供应方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中国产品供应方</w:t>
            </w:r>
          </w:p>
        </w:tc>
        <w:tc>
          <w:tcPr>
            <w:tcW w:type="dxa" w:w="17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按方法复测并处理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涉及安全、质量、许可、资金、舆情时立即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证据齐全前保持暂停</w:t>
            </w:r>
          </w:p>
        </w:tc>
        <w:tc>
          <w:tcPr>
            <w:tcW w:type="dxa" w:w="8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视批次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按已批准规则；例外需最终负责人</w:t>
            </w:r>
          </w:p>
        </w:tc>
        <w:tc>
          <w:tcPr>
            <w:tcW w:type="dxa" w:w="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事件结束后2个工作日</w:t>
            </w:r>
          </w:p>
        </w:tc>
      </w:tr>
      <w:tr>
        <w:tc>
          <w:tcPr>
            <w:tcW w:type="dxa" w:w="6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海鲜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重量争议</w:t>
            </w:r>
          </w:p>
        </w:tc>
        <w:tc>
          <w:tcPr>
            <w:tcW w:type="dxa" w:w="162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净重或解冻后重量不符</w:t>
            </w:r>
          </w:p>
        </w:tc>
        <w:tc>
          <w:tcPr>
            <w:tcW w:type="dxa" w:w="8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仅收证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中国产品供应方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尼泊尔销售与收款主体</w:t>
            </w:r>
          </w:p>
        </w:tc>
        <w:tc>
          <w:tcPr>
            <w:tcW w:type="dxa" w:w="17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复核秤具、批次与退款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涉及安全、质量、许可、资金、舆情时立即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证据齐全前保持暂停</w:t>
            </w:r>
          </w:p>
        </w:tc>
        <w:tc>
          <w:tcPr>
            <w:tcW w:type="dxa" w:w="8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视批次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按已批准规则；例外需最终负责人</w:t>
            </w:r>
          </w:p>
        </w:tc>
        <w:tc>
          <w:tcPr>
            <w:tcW w:type="dxa" w:w="9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事件结束后2个工作日</w:t>
            </w:r>
          </w:p>
        </w:tc>
      </w:tr>
      <w:tr>
        <w:tc>
          <w:tcPr>
            <w:tcW w:type="dxa" w:w="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海鲜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规格不符</w:t>
            </w:r>
          </w:p>
        </w:tc>
        <w:tc>
          <w:tcPr>
            <w:tcW w:type="dxa" w:w="1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只数、尺寸或处理方式不符</w:t>
            </w:r>
          </w:p>
        </w:tc>
        <w:tc>
          <w:tcPr>
            <w:tcW w:type="dxa" w:w="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仅收证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中国产品供应方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尼泊尔销售与收款主体</w:t>
            </w:r>
          </w:p>
        </w:tc>
        <w:tc>
          <w:tcPr>
            <w:tcW w:type="dxa" w:w="17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隔离并确认补发/退款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涉及安全、质量、许可、资金、舆情时立即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证据齐全前保持暂停</w:t>
            </w:r>
          </w:p>
        </w:tc>
        <w:tc>
          <w:tcPr>
            <w:tcW w:type="dxa" w:w="8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视批次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按已批准规则；例外需最终负责人</w:t>
            </w:r>
          </w:p>
        </w:tc>
        <w:tc>
          <w:tcPr>
            <w:tcW w:type="dxa" w:w="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事件结束后2个工作日</w:t>
            </w:r>
          </w:p>
        </w:tc>
      </w:tr>
      <w:tr>
        <w:tc>
          <w:tcPr>
            <w:tcW w:type="dxa" w:w="6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海鲜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过敏反应</w:t>
            </w:r>
          </w:p>
        </w:tc>
        <w:tc>
          <w:tcPr>
            <w:tcW w:type="dxa" w:w="162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出现不适报告</w:t>
            </w:r>
          </w:p>
        </w:tc>
        <w:tc>
          <w:tcPr>
            <w:tcW w:type="dxa" w:w="8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否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线上运营团队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尼泊尔进口主体</w:t>
            </w:r>
          </w:p>
        </w:tc>
        <w:tc>
          <w:tcPr>
            <w:tcW w:type="dxa" w:w="17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建议立即寻求医疗帮助并升级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涉及安全、质量、许可、资金、舆情时立即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证据齐全前保持暂停</w:t>
            </w:r>
          </w:p>
        </w:tc>
        <w:tc>
          <w:tcPr>
            <w:tcW w:type="dxa" w:w="8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是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按已批准规则；例外需最终负责人</w:t>
            </w:r>
          </w:p>
        </w:tc>
        <w:tc>
          <w:tcPr>
            <w:tcW w:type="dxa" w:w="9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事件结束后2个工作日</w:t>
            </w:r>
          </w:p>
        </w:tc>
      </w:tr>
      <w:tr>
        <w:tc>
          <w:tcPr>
            <w:tcW w:type="dxa" w:w="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海鲜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食品安全或批次问题</w:t>
            </w:r>
          </w:p>
        </w:tc>
        <w:tc>
          <w:tcPr>
            <w:tcW w:type="dxa" w:w="1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检测、监管或集中投诉</w:t>
            </w:r>
          </w:p>
        </w:tc>
        <w:tc>
          <w:tcPr>
            <w:tcW w:type="dxa" w:w="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否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尼泊尔进口主体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尼泊尔进口主体</w:t>
            </w:r>
          </w:p>
        </w:tc>
        <w:tc>
          <w:tcPr>
            <w:tcW w:type="dxa" w:w="17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召回、通知、隔离和报告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涉及安全、质量、许可、资金、舆情时立即</w:t>
            </w:r>
          </w:p>
        </w:tc>
        <w:tc>
          <w:tcPr>
            <w:tcW w:type="dxa" w:w="1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证据齐全前保持暂停</w:t>
            </w:r>
          </w:p>
        </w:tc>
        <w:tc>
          <w:tcPr>
            <w:tcW w:type="dxa" w:w="8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是</w:t>
            </w:r>
          </w:p>
        </w:tc>
        <w:tc>
          <w:tcPr>
            <w:tcW w:type="dxa" w:w="1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按已批准规则；例外需最终负责人</w:t>
            </w:r>
          </w:p>
        </w:tc>
        <w:tc>
          <w:tcPr>
            <w:tcW w:type="dxa" w:w="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事件结束后2个工作日</w:t>
            </w:r>
          </w:p>
        </w:tc>
      </w:tr>
      <w:tr>
        <w:tc>
          <w:tcPr>
            <w:tcW w:type="dxa" w:w="6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海鲜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B2B质量争议</w:t>
            </w:r>
          </w:p>
        </w:tc>
        <w:tc>
          <w:tcPr>
            <w:tcW w:type="dxa" w:w="162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采购单位拒收或批量投诉</w:t>
            </w:r>
          </w:p>
        </w:tc>
        <w:tc>
          <w:tcPr>
            <w:tcW w:type="dxa" w:w="8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否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线上运营团队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尼泊尔销售与收款主体</w:t>
            </w:r>
          </w:p>
        </w:tc>
        <w:tc>
          <w:tcPr>
            <w:tcW w:type="dxa" w:w="17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联合取证、停止同批发货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涉及安全、质量、许可、资金、舆情时立即</w:t>
            </w:r>
          </w:p>
        </w:tc>
        <w:tc>
          <w:tcPr>
            <w:tcW w:type="dxa" w:w="11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证据齐全前保持暂停</w:t>
            </w:r>
          </w:p>
        </w:tc>
        <w:tc>
          <w:tcPr>
            <w:tcW w:type="dxa" w:w="8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视范围</w:t>
            </w:r>
          </w:p>
        </w:tc>
        <w:tc>
          <w:tcPr>
            <w:tcW w:type="dxa" w:w="13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按已批准规则；例外需最终负责人</w:t>
            </w:r>
          </w:p>
        </w:tc>
        <w:tc>
          <w:tcPr>
            <w:tcW w:type="dxa" w:w="9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事件结束后2个工作日</w:t>
            </w:r>
          </w:p>
        </w:tc>
      </w:tr>
    </w:tbl>
    <w:p>
      <w:pPr>
        <w:spacing w:after="40"/>
      </w:pPr>
    </w:p>
    <w:p>
      <w:pPr>
        <w:pStyle w:val="Heading1"/>
      </w:pPr>
      <w:r>
        <w:t>AI与人工边界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128"/>
        <w:gridCol w:w="7128"/>
      </w:tblGrid>
      <w:tr>
        <w:trPr>
          <w:tblHeader w:val="true"/>
        </w:trPr>
        <w:tc>
          <w:tcPr>
            <w:tcW w:type="dxa" w:w="71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AI可以</w:t>
            </w:r>
          </w:p>
        </w:tc>
        <w:tc>
          <w:tcPr>
            <w:tcW w:type="dxa" w:w="71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AI不可以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确认已登记、收集订单/批次/照片/视频、说明人工正在处理、提供已批准的安全提示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判断食品是否安全、确定假货、批准退款、承诺赔付、公开归责、决定召回</w:t>
            </w:r>
          </w:p>
        </w:tc>
      </w:tr>
    </w:tbl>
    <w:p>
      <w:pPr>
        <w:spacing w:after="40"/>
      </w:pPr>
    </w:p>
    <w:p>
      <w:pPr>
        <w:pStyle w:val="Heading1"/>
      </w:pPr>
      <w:r>
        <w:t>证据和对外说明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71"/>
        <w:gridCol w:w="5922"/>
        <w:gridCol w:w="5263"/>
      </w:tblGrid>
      <w:tr>
        <w:trPr>
          <w:tblHeader w:val="true"/>
        </w:trPr>
        <w:tc>
          <w:tcPr>
            <w:tcW w:type="dxa" w:w="307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592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最低证据</w:t>
            </w:r>
          </w:p>
        </w:tc>
        <w:tc>
          <w:tcPr>
            <w:tcW w:type="dxa" w:w="526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说明原则</w:t>
            </w:r>
          </w:p>
        </w:tc>
      </w:tr>
      <w:tr>
        <w:tc>
          <w:tcPr>
            <w:tcW w:type="dxa" w:w="3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订单与付款</w:t>
            </w:r>
          </w:p>
        </w:tc>
        <w:tc>
          <w:tcPr>
            <w:tcW w:type="dxa" w:w="5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订单编号、金额、时间、票据</w:t>
            </w:r>
          </w:p>
        </w:tc>
        <w:tc>
          <w:tcPr>
            <w:tcW w:type="dxa" w:w="5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不公开个人资料</w:t>
            </w:r>
          </w:p>
        </w:tc>
      </w:tr>
      <w:tr>
        <w:tc>
          <w:tcPr>
            <w:tcW w:type="dxa" w:w="30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商品与批次</w:t>
            </w:r>
          </w:p>
        </w:tc>
        <w:tc>
          <w:tcPr>
            <w:tcW w:type="dxa" w:w="59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SKU、批次、标签、包装、照片</w:t>
            </w:r>
          </w:p>
        </w:tc>
        <w:tc>
          <w:tcPr>
            <w:tcW w:type="dxa" w:w="52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只说已核实事实</w:t>
            </w:r>
          </w:p>
        </w:tc>
      </w:tr>
      <w:tr>
        <w:tc>
          <w:tcPr>
            <w:tcW w:type="dxa" w:w="3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配送与温控</w:t>
            </w:r>
          </w:p>
        </w:tc>
        <w:tc>
          <w:tcPr>
            <w:tcW w:type="dxa" w:w="5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取件、路线、时间、温度、签收</w:t>
            </w:r>
          </w:p>
        </w:tc>
        <w:tc>
          <w:tcPr>
            <w:tcW w:type="dxa" w:w="5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不在调查前推责</w:t>
            </w:r>
          </w:p>
        </w:tc>
      </w:tr>
      <w:tr>
        <w:tc>
          <w:tcPr>
            <w:tcW w:type="dxa" w:w="30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平台与内容</w:t>
            </w:r>
          </w:p>
        </w:tc>
        <w:tc>
          <w:tcPr>
            <w:tcW w:type="dxa" w:w="59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URL、版本、审核、驳回、申诉</w:t>
            </w:r>
          </w:p>
        </w:tc>
        <w:tc>
          <w:tcPr>
            <w:tcW w:type="dxa" w:w="52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暂停争议内容</w:t>
            </w:r>
          </w:p>
        </w:tc>
      </w:tr>
      <w:tr>
        <w:tc>
          <w:tcPr>
            <w:tcW w:type="dxa" w:w="3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退款与赔付</w:t>
            </w:r>
          </w:p>
        </w:tc>
        <w:tc>
          <w:tcPr>
            <w:tcW w:type="dxa" w:w="5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批准、执行、到账和实物处置</w:t>
            </w:r>
          </w:p>
        </w:tc>
        <w:tc>
          <w:tcPr>
            <w:tcW w:type="dxa" w:w="5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明确时限与联系人</w:t>
            </w:r>
          </w:p>
        </w:tc>
      </w:tr>
    </w:tbl>
    <w:p>
      <w:pPr>
        <w:spacing w:after="40"/>
      </w:pPr>
    </w:p>
    <w:p>
      <w:pPr>
        <w:pStyle w:val="Heading1"/>
      </w:pPr>
      <w:r>
        <w:t>复盘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82"/>
        <w:gridCol w:w="2228"/>
        <w:gridCol w:w="2584"/>
        <w:gridCol w:w="2138"/>
        <w:gridCol w:w="2138"/>
        <w:gridCol w:w="1604"/>
        <w:gridCol w:w="1782"/>
      </w:tblGrid>
      <w:tr>
        <w:trPr>
          <w:tblHeader w:val="true"/>
        </w:trPr>
        <w:tc>
          <w:tcPr>
            <w:tcW w:type="dxa" w:w="178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事件编号</w:t>
            </w:r>
          </w:p>
        </w:tc>
        <w:tc>
          <w:tcPr>
            <w:tcW w:type="dxa" w:w="22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根因</w:t>
            </w:r>
          </w:p>
        </w:tc>
        <w:tc>
          <w:tcPr>
            <w:tcW w:type="dxa" w:w="2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哪些商品/渠道受影响</w:t>
            </w:r>
          </w:p>
        </w:tc>
        <w:tc>
          <w:tcPr>
            <w:tcW w:type="dxa" w:w="213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处理结果</w:t>
            </w:r>
          </w:p>
        </w:tc>
        <w:tc>
          <w:tcPr>
            <w:tcW w:type="dxa" w:w="213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流程修改</w:t>
            </w:r>
          </w:p>
        </w:tc>
        <w:tc>
          <w:tcPr>
            <w:tcW w:type="dxa" w:w="160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178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恢复批准</w:t>
            </w:r>
          </w:p>
        </w:tc>
      </w:tr>
      <w:tr>
        <w:tc>
          <w:tcPr>
            <w:tcW w:type="dxa" w:w="1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双方确认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61"/>
        <w:gridCol w:w="3180"/>
        <w:gridCol w:w="2632"/>
        <w:gridCol w:w="3180"/>
        <w:gridCol w:w="2303"/>
      </w:tblGrid>
      <w:tr>
        <w:trPr>
          <w:tblHeader w:val="true"/>
        </w:trPr>
        <w:tc>
          <w:tcPr>
            <w:tcW w:type="dxa" w:w="29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确认方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公司名称</w:t>
            </w:r>
          </w:p>
        </w:tc>
        <w:tc>
          <w:tcPr>
            <w:tcW w:type="dxa" w:w="26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签字或盖章</w:t>
            </w:r>
          </w:p>
        </w:tc>
        <w:tc>
          <w:tcPr>
            <w:tcW w:type="dxa" w:w="230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5"/>
        <w:gridCol w:w="3400"/>
        <w:gridCol w:w="3948"/>
        <w:gridCol w:w="1973"/>
      </w:tblGrid>
      <w:tr>
        <w:trPr>
          <w:tblHeader w:val="true"/>
        </w:trPr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9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3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9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17_异常_客诉_召回应急机制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