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账号_采购单位_数据_内容归属确认事项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不替双方擅自决定：提供选项、风险、推荐默认方案和签字栏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使用说明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归属确认事项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推荐默认原则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终止与导出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使用说明</w:t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未决事项  </w:t>
      </w:r>
      <w:r>
        <w:rPr>
          <w:rFonts w:ascii="Hiragino Sans GB" w:hAnsi="Hiragino Sans GB" w:eastAsia="Hiragino Sans GB"/>
          <w:color w:val="1F2937"/>
          <w:sz w:val="21"/>
        </w:rPr>
        <w:t>本文件不代替合同。表中推荐方案用于减少账号失控、数据不能导出、隐私责任错位和复购争议；双方可调整，但必须写明选择、负责人和生效日期。</w:t>
      </w:r>
    </w:p>
    <w:p>
      <w:pPr>
        <w:pStyle w:val="Heading1"/>
      </w:pPr>
      <w:r>
        <w:t>归属确认事项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97"/>
        <w:gridCol w:w="3065"/>
        <w:gridCol w:w="2067"/>
        <w:gridCol w:w="2210"/>
        <w:gridCol w:w="1212"/>
        <w:gridCol w:w="1711"/>
        <w:gridCol w:w="1283"/>
        <w:gridCol w:w="1211"/>
      </w:tblGrid>
      <w:tr>
        <w:trPr>
          <w:tblHeader w:val="true"/>
        </w:trPr>
        <w:tc>
          <w:tcPr>
            <w:tcW w:type="dxa" w:w="149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306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推荐默认方案</w:t>
            </w:r>
          </w:p>
        </w:tc>
        <w:tc>
          <w:tcPr>
            <w:tcW w:type="dxa" w:w="206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其他选项</w:t>
            </w:r>
          </w:p>
        </w:tc>
        <w:tc>
          <w:tcPr>
            <w:tcW w:type="dxa" w:w="22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主要风险</w:t>
            </w:r>
          </w:p>
        </w:tc>
        <w:tc>
          <w:tcPr>
            <w:tcW w:type="dxa" w:w="12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当前状态</w:t>
            </w:r>
          </w:p>
        </w:tc>
        <w:tc>
          <w:tcPr>
            <w:tcW w:type="dxa" w:w="171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双方选择</w:t>
            </w:r>
          </w:p>
        </w:tc>
        <w:tc>
          <w:tcPr>
            <w:tcW w:type="dxa" w:w="128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责任人</w:t>
            </w:r>
          </w:p>
        </w:tc>
        <w:tc>
          <w:tcPr>
            <w:tcW w:type="dxa" w:w="121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生效日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TikTok账号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线上运营团队持有；本地销售主体为合规共同管理员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全部归本地销售主体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账号无法迁移、合规责任分离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待双方签字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Business Center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由合法开户主体持有，线上运营团队获工作权限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由线上运营团队单独持有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开户地区、税务与移交风险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待平台能力确认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广告账户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合法开户与付款主体持有，预算需双重批准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任一方单独控制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费用、停投和数据不可控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待双方签字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手机号与邮箱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项目专用并登记双重恢复方式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使用个人账号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人员离开后无法接管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建议采用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独立站与域名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项目主体持有，线上运营团队管理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线上运营团队持有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终止合作后的使用争议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待双方选择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CRM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项目专用空间，按角色授权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任一方私有表格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数据导出与连续运营风险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建议采用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B2B采购单位资料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按合法来源和实际贡献约定共同使用边界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归最先发现一方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复购、跨品类和终止后争议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待双方签字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B2C购买者资料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由本地销售主体依法保管，线上运营团队按目的使用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归线上运营团队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隐私与销售主体责任错位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建议采用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复购收益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按来源、运营投入和履约贡献设透明口径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固定永久分成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供应或服务变化后失衡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待双方选择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再次采购收益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设定归因期限与订单证据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无限期归因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长期争议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待双方选择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达人资源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原有资源归原持有方，项目新增资源按协议使用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全部共同所有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联系人和关系无法强制转移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建议采用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内容版权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原创内容按委托关系约定，品牌元素仍归品牌方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全部归品牌方或运营方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二次使用与移交争议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待双方签字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AI工作流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通用方法归技术执行方，项目配置与数据可导出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全部永久共有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知识产权和维护不清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建议采用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数据库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项目数据可完整导出；基础软件按许可使用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不能导出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合作终止无法连续运营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建议采用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广告数据与像素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随合法广告和网站主体保存，双方可查看约定范围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只给截图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无法审计归因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待双方签字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账号粉丝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随账号归属，不单独分割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按比例分割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技术上不可执行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建议采用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合作终止数据导出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约定格式、时间、范围与删除证明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临时协商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中断与隐私风险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建议采用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供应方更换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账号和公开受众按账号协议保留，商品资料及时下架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供应方自动带走账号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业务连续性风险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待双方签字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保密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价格、联系人、合同、库存和系统权限分级保密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口头约定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泄露和举证困难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建议采用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14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软件、广告与达人费用</w:t>
            </w:r>
          </w:p>
        </w:tc>
        <w:tc>
          <w:tcPr>
            <w:tcW w:type="dxa" w:w="306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事前预算、付款主体、报销凭证和超支审批</w:t>
            </w:r>
          </w:p>
        </w:tc>
        <w:tc>
          <w:tcPr>
            <w:tcW w:type="dxa" w:w="20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事后结算</w:t>
            </w:r>
          </w:p>
        </w:tc>
        <w:tc>
          <w:tcPr>
            <w:tcW w:type="dxa" w:w="2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费用争议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待双方签字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推荐默认原则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19"/>
        <w:gridCol w:w="10637"/>
      </w:tblGrid>
      <w:tr>
        <w:trPr>
          <w:tblHeader w:val="true"/>
        </w:trPr>
        <w:tc>
          <w:tcPr>
            <w:tcW w:type="dxa" w:w="36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106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合法主体持有高风险资产</w:t>
            </w:r>
          </w:p>
        </w:tc>
        <w:tc>
          <w:tcPr>
            <w:tcW w:type="dxa" w:w="10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广告、收款、票据和本地销售相关账户由实际承担法律责任的主体持有</w:t>
            </w:r>
          </w:p>
        </w:tc>
      </w:tr>
      <w:tr>
        <w:tc>
          <w:tcPr>
            <w:tcW w:type="dxa" w:w="3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线上运营团队保留工作连续性</w:t>
            </w:r>
          </w:p>
        </w:tc>
        <w:tc>
          <w:tcPr>
            <w:tcW w:type="dxa" w:w="106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获得完成运营所需的管理员、数据查看和导出权限</w:t>
            </w:r>
          </w:p>
        </w:tc>
      </w:tr>
      <w:tr>
        <w:tc>
          <w:tcPr>
            <w:tcW w:type="dxa" w:w="3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项目专用恢复方式</w:t>
            </w:r>
          </w:p>
        </w:tc>
        <w:tc>
          <w:tcPr>
            <w:tcW w:type="dxa" w:w="10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邮箱、手机号、双重验证和备用管理员不得依赖单一个人</w:t>
            </w:r>
          </w:p>
        </w:tc>
      </w:tr>
      <w:tr>
        <w:tc>
          <w:tcPr>
            <w:tcW w:type="dxa" w:w="3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可完整导出</w:t>
            </w:r>
          </w:p>
        </w:tc>
        <w:tc>
          <w:tcPr>
            <w:tcW w:type="dxa" w:w="106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商品、CRM、订单、内容、审批、广告和日志按约定格式导出</w:t>
            </w:r>
          </w:p>
        </w:tc>
      </w:tr>
      <w:tr>
        <w:tc>
          <w:tcPr>
            <w:tcW w:type="dxa" w:w="3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数据按目的使用</w:t>
            </w:r>
          </w:p>
        </w:tc>
        <w:tc>
          <w:tcPr>
            <w:tcW w:type="dxa" w:w="10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购买者资料由本地销售主体依法保管，线上运营团队只在约定目的和期限内使用</w:t>
            </w:r>
          </w:p>
        </w:tc>
      </w:tr>
      <w:tr>
        <w:tc>
          <w:tcPr>
            <w:tcW w:type="dxa" w:w="3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品牌与原创分开</w:t>
            </w:r>
          </w:p>
        </w:tc>
        <w:tc>
          <w:tcPr>
            <w:tcW w:type="dxa" w:w="106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品牌商标和官方素材归品牌方；原创内容与项目配置按委托协议确定</w:t>
            </w:r>
          </w:p>
        </w:tc>
      </w:tr>
    </w:tbl>
    <w:p>
      <w:pPr>
        <w:spacing w:after="40"/>
      </w:pPr>
    </w:p>
    <w:p>
      <w:pPr>
        <w:pStyle w:val="Heading1"/>
      </w:pPr>
      <w:r>
        <w:t>终止与导出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93"/>
        <w:gridCol w:w="2961"/>
        <w:gridCol w:w="5702"/>
      </w:tblGrid>
      <w:tr>
        <w:trPr>
          <w:tblHeader w:val="true"/>
        </w:trPr>
        <w:tc>
          <w:tcPr>
            <w:tcW w:type="dxa" w:w="55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建议时限</w:t>
            </w:r>
          </w:p>
        </w:tc>
        <w:tc>
          <w:tcPr>
            <w:tcW w:type="dxa" w:w="570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5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停止新增外联、投放和内容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终止通知生效时</w:t>
            </w:r>
          </w:p>
        </w:tc>
        <w:tc>
          <w:tcPr>
            <w:tcW w:type="dxa" w:w="5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无新任务</w:t>
            </w:r>
          </w:p>
        </w:tc>
      </w:tr>
      <w:tr>
        <w:tc>
          <w:tcPr>
            <w:tcW w:type="dxa" w:w="55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导出CRM、商品、订单、审批和日志</w:t>
            </w:r>
          </w:p>
        </w:tc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5个工作日</w:t>
            </w:r>
          </w:p>
        </w:tc>
        <w:tc>
          <w:tcPr>
            <w:tcW w:type="dxa" w:w="57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文件可打开、数量可核</w:t>
            </w:r>
          </w:p>
        </w:tc>
      </w:tr>
      <w:tr>
        <w:tc>
          <w:tcPr>
            <w:tcW w:type="dxa" w:w="5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移交账号、域名、像素与管理员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5个工作日</w:t>
            </w:r>
          </w:p>
        </w:tc>
        <w:tc>
          <w:tcPr>
            <w:tcW w:type="dxa" w:w="5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新管理员登录成功</w:t>
            </w:r>
          </w:p>
        </w:tc>
      </w:tr>
      <w:tr>
        <w:tc>
          <w:tcPr>
            <w:tcW w:type="dxa" w:w="55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移除不再需要的权限</w:t>
            </w:r>
          </w:p>
        </w:tc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移交完成后1个工作日</w:t>
            </w:r>
          </w:p>
        </w:tc>
        <w:tc>
          <w:tcPr>
            <w:tcW w:type="dxa" w:w="57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权限清单确认</w:t>
            </w:r>
          </w:p>
        </w:tc>
      </w:tr>
      <w:tr>
        <w:tc>
          <w:tcPr>
            <w:tcW w:type="dxa" w:w="5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按约定删除或保留个人资料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法律与合同期限内</w:t>
            </w:r>
          </w:p>
        </w:tc>
        <w:tc>
          <w:tcPr>
            <w:tcW w:type="dxa" w:w="5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删除证明或保留依据</w:t>
            </w:r>
          </w:p>
        </w:tc>
      </w:tr>
      <w:tr>
        <w:tc>
          <w:tcPr>
            <w:tcW w:type="dxa" w:w="55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商品、品牌和供应资料下架</w:t>
            </w:r>
          </w:p>
        </w:tc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授权终止时</w:t>
            </w:r>
          </w:p>
        </w:tc>
        <w:tc>
          <w:tcPr>
            <w:tcW w:type="dxa" w:w="57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公开渠道不再展示</w:t>
            </w:r>
          </w:p>
        </w:tc>
      </w:tr>
    </w:tbl>
    <w:p>
      <w:pPr>
        <w:spacing w:after="40"/>
      </w:pPr>
    </w:p>
    <w:p>
      <w:pPr>
        <w:pStyle w:val="Heading1"/>
      </w:pPr>
      <w:r>
        <w:t>归属与终止条款确认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18_账号_业务关系_数据_内容归属确认事项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