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双方待确认决策清单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把供应、品牌、尼泊尔当地、平台后台和双方商业选择分开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使用说明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待确认决策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优先顺序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决策记录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使用说明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状态  </w:t>
      </w:r>
      <w:r>
        <w:rPr>
          <w:rFonts w:ascii="Hiragino Sans GB" w:hAnsi="Hiragino Sans GB" w:eastAsia="Hiragino Sans GB"/>
          <w:color w:val="1F2937"/>
          <w:sz w:val="21"/>
        </w:rPr>
        <w:t>未完成证据栏前，所有决策保持待确认。口头同意不视为完成；涉及账号、收益、个人资料和授权的事项必须签字。</w:t>
      </w:r>
    </w:p>
    <w:p>
      <w:pPr>
        <w:pStyle w:val="Heading1"/>
      </w:pPr>
      <w:r>
        <w:t>待确认决策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4"/>
        <w:gridCol w:w="1925"/>
        <w:gridCol w:w="1711"/>
        <w:gridCol w:w="2495"/>
        <w:gridCol w:w="1782"/>
        <w:gridCol w:w="927"/>
        <w:gridCol w:w="1426"/>
        <w:gridCol w:w="1212"/>
        <w:gridCol w:w="1994"/>
      </w:tblGrid>
      <w:tr>
        <w:trPr>
          <w:tblHeader w:val="true"/>
        </w:trPr>
        <w:tc>
          <w:tcPr>
            <w:tcW w:type="dxa" w:w="7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9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决策</w:t>
            </w:r>
          </w:p>
        </w:tc>
        <w:tc>
          <w:tcPr>
            <w:tcW w:type="dxa" w:w="171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确认方</w:t>
            </w:r>
          </w:p>
        </w:tc>
        <w:tc>
          <w:tcPr>
            <w:tcW w:type="dxa" w:w="249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需要决定</w:t>
            </w:r>
          </w:p>
        </w:tc>
        <w:tc>
          <w:tcPr>
            <w:tcW w:type="dxa" w:w="178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完成证据</w:t>
            </w:r>
          </w:p>
        </w:tc>
        <w:tc>
          <w:tcPr>
            <w:tcW w:type="dxa" w:w="92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优先级</w:t>
            </w:r>
          </w:p>
        </w:tc>
        <w:tc>
          <w:tcPr>
            <w:tcW w:type="dxa" w:w="142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目标日期</w:t>
            </w:r>
          </w:p>
        </w:tc>
        <w:tc>
          <w:tcPr>
            <w:tcW w:type="dxa" w:w="12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当前状态</w:t>
            </w:r>
          </w:p>
        </w:tc>
        <w:tc>
          <w:tcPr>
            <w:tcW w:type="dxa" w:w="199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最终选择</w:t>
            </w:r>
          </w:p>
        </w:tc>
      </w:tr>
      <w:tr>
        <w:tc>
          <w:tcPr>
            <w:tcW w:type="dxa" w:w="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D01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汾酒尼泊尔品牌授权范围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汾酒品牌授权方</w:t>
            </w:r>
          </w:p>
        </w:tc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地区、渠道、期限、改编与达人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正式授权文件</w:t>
            </w:r>
          </w:p>
        </w:tc>
        <w:tc>
          <w:tcPr>
            <w:tcW w:type="dxa" w:w="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D02</w:t>
            </w:r>
          </w:p>
        </w:tc>
        <w:tc>
          <w:tcPr>
            <w:tcW w:type="dxa" w:w="19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汾酒广告与普通内容法律边界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尼泊尔合规顾问</w:t>
            </w:r>
          </w:p>
        </w:tc>
        <w:tc>
          <w:tcPr>
            <w:tcW w:type="dxa" w:w="24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可做、不可做、需审批</w:t>
            </w:r>
          </w:p>
        </w:tc>
        <w:tc>
          <w:tcPr>
            <w:tcW w:type="dxa" w:w="17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书面意见</w:t>
            </w:r>
          </w:p>
        </w:tc>
        <w:tc>
          <w:tcPr>
            <w:tcW w:type="dxa" w:w="92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D03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汾酒网络销售与配送到家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尼泊尔合规顾问、尼泊尔销售与收款主体</w:t>
            </w:r>
          </w:p>
        </w:tc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合法主体、许可、验龄、票据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书面意见与流程</w:t>
            </w:r>
          </w:p>
        </w:tc>
        <w:tc>
          <w:tcPr>
            <w:tcW w:type="dxa" w:w="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D04</w:t>
            </w:r>
          </w:p>
        </w:tc>
        <w:tc>
          <w:tcPr>
            <w:tcW w:type="dxa" w:w="19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TikTok受管制行业授权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平台与广告账户主体</w:t>
            </w:r>
          </w:p>
        </w:tc>
        <w:tc>
          <w:tcPr>
            <w:tcW w:type="dxa" w:w="24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实际账号是否获批</w:t>
            </w:r>
          </w:p>
        </w:tc>
        <w:tc>
          <w:tcPr>
            <w:tcW w:type="dxa" w:w="17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后台回执</w:t>
            </w:r>
          </w:p>
        </w:tc>
        <w:tc>
          <w:tcPr>
            <w:tcW w:type="dxa" w:w="92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D05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TikTok广告开户与尼泊尔定向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平台与广告账户主体</w:t>
            </w:r>
          </w:p>
        </w:tc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实际账户能力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后台测试</w:t>
            </w:r>
          </w:p>
        </w:tc>
        <w:tc>
          <w:tcPr>
            <w:tcW w:type="dxa" w:w="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D06</w:t>
            </w:r>
          </w:p>
        </w:tc>
        <w:tc>
          <w:tcPr>
            <w:tcW w:type="dxa" w:w="19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TikTok Shop、商品挂载与站内支付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平台与广告账户主体</w:t>
            </w:r>
          </w:p>
        </w:tc>
        <w:tc>
          <w:tcPr>
            <w:tcW w:type="dxa" w:w="24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尼泊尔是否可用</w:t>
            </w:r>
          </w:p>
        </w:tc>
        <w:tc>
          <w:tcPr>
            <w:tcW w:type="dxa" w:w="17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后台测试</w:t>
            </w:r>
          </w:p>
        </w:tc>
        <w:tc>
          <w:tcPr>
            <w:tcW w:type="dxa" w:w="92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D07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TikTok LIVE酒类内容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平台与广告账户主体、尼泊尔合规顾问</w:t>
            </w:r>
          </w:p>
        </w:tc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内容、导流与销售边界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书面意见与测试</w:t>
            </w:r>
          </w:p>
        </w:tc>
        <w:tc>
          <w:tcPr>
            <w:tcW w:type="dxa" w:w="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D08</w:t>
            </w:r>
          </w:p>
        </w:tc>
        <w:tc>
          <w:tcPr>
            <w:tcW w:type="dxa" w:w="19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汾酒首批SKU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中国产品供应方、汾酒品牌授权方、尼泊尔销售与收款主体</w:t>
            </w:r>
          </w:p>
        </w:tc>
        <w:tc>
          <w:tcPr>
            <w:tcW w:type="dxa" w:w="24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酒精度、容量、批次、库存、价格</w:t>
            </w:r>
          </w:p>
        </w:tc>
        <w:tc>
          <w:tcPr>
            <w:tcW w:type="dxa" w:w="17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商品资料</w:t>
            </w:r>
          </w:p>
        </w:tc>
        <w:tc>
          <w:tcPr>
            <w:tcW w:type="dxa" w:w="92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D09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海鲜首批SKU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中国产品供应方、尼泊尔进口主体</w:t>
            </w:r>
          </w:p>
        </w:tc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物种、形态、规格、净重、裹冰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商品资料</w:t>
            </w:r>
          </w:p>
        </w:tc>
        <w:tc>
          <w:tcPr>
            <w:tcW w:type="dxa" w:w="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D10</w:t>
            </w:r>
          </w:p>
        </w:tc>
        <w:tc>
          <w:tcPr>
            <w:tcW w:type="dxa" w:w="19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海鲜逐SKU海关编码与税费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尼泊尔进口主体、尼泊尔合规顾问</w:t>
            </w:r>
          </w:p>
        </w:tc>
        <w:tc>
          <w:tcPr>
            <w:tcW w:type="dxa" w:w="24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第03章或第16章及当期费用</w:t>
            </w:r>
          </w:p>
        </w:tc>
        <w:tc>
          <w:tcPr>
            <w:tcW w:type="dxa" w:w="17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报关预审</w:t>
            </w:r>
          </w:p>
        </w:tc>
        <w:tc>
          <w:tcPr>
            <w:tcW w:type="dxa" w:w="92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D11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海鲜许可与检测要求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尼泊尔进口主体、尼泊尔合规顾问</w:t>
            </w:r>
          </w:p>
        </w:tc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逐SKU与批次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DFTQC路径或回执</w:t>
            </w:r>
          </w:p>
        </w:tc>
        <w:tc>
          <w:tcPr>
            <w:tcW w:type="dxa" w:w="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D12</w:t>
            </w:r>
          </w:p>
        </w:tc>
        <w:tc>
          <w:tcPr>
            <w:tcW w:type="dxa" w:w="19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海鲜标签语言和过敏提示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尼泊尔进口主体、尼泊尔合规顾问</w:t>
            </w:r>
          </w:p>
        </w:tc>
        <w:tc>
          <w:tcPr>
            <w:tcW w:type="dxa" w:w="24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当地强制要求</w:t>
            </w:r>
          </w:p>
        </w:tc>
        <w:tc>
          <w:tcPr>
            <w:tcW w:type="dxa" w:w="17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批准标签稿</w:t>
            </w:r>
          </w:p>
        </w:tc>
        <w:tc>
          <w:tcPr>
            <w:tcW w:type="dxa" w:w="92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D13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冷链温度和验收标准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中国产品供应方、尼泊尔仓储与履约团队、尼泊尔进口主体</w:t>
            </w:r>
          </w:p>
        </w:tc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仓储、运输、送达和异常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书面标准</w:t>
            </w:r>
          </w:p>
        </w:tc>
        <w:tc>
          <w:tcPr>
            <w:tcW w:type="dxa" w:w="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D14</w:t>
            </w:r>
          </w:p>
        </w:tc>
        <w:tc>
          <w:tcPr>
            <w:tcW w:type="dxa" w:w="19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尼泊尔进口主体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尼泊尔进口主体</w:t>
            </w:r>
          </w:p>
        </w:tc>
        <w:tc>
          <w:tcPr>
            <w:tcW w:type="dxa" w:w="24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公司、EXIM Code、联系人和有效期</w:t>
            </w:r>
          </w:p>
        </w:tc>
        <w:tc>
          <w:tcPr>
            <w:tcW w:type="dxa" w:w="17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主体文件</w:t>
            </w:r>
          </w:p>
        </w:tc>
        <w:tc>
          <w:tcPr>
            <w:tcW w:type="dxa" w:w="92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D15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</w:t>
            </w:r>
          </w:p>
        </w:tc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许可、税务、票据和退款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主体文件</w:t>
            </w:r>
          </w:p>
        </w:tc>
        <w:tc>
          <w:tcPr>
            <w:tcW w:type="dxa" w:w="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D16</w:t>
            </w:r>
          </w:p>
        </w:tc>
        <w:tc>
          <w:tcPr>
            <w:tcW w:type="dxa" w:w="19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仓库、配送和覆盖城市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尼泊尔仓储与履约团队、第三方物流</w:t>
            </w:r>
          </w:p>
        </w:tc>
        <w:tc>
          <w:tcPr>
            <w:tcW w:type="dxa" w:w="24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范围、时效、费用、上限</w:t>
            </w:r>
          </w:p>
        </w:tc>
        <w:tc>
          <w:tcPr>
            <w:tcW w:type="dxa" w:w="17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服务规则</w:t>
            </w:r>
          </w:p>
        </w:tc>
        <w:tc>
          <w:tcPr>
            <w:tcW w:type="dxa" w:w="92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D17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退款、拒收和赔付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尼泊尔销售与收款主体、中国产品供应方、尼泊尔仓储与履约团队</w:t>
            </w:r>
          </w:p>
        </w:tc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场景、上限、时限和资金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售后规则</w:t>
            </w:r>
          </w:p>
        </w:tc>
        <w:tc>
          <w:tcPr>
            <w:tcW w:type="dxa" w:w="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D18</w:t>
            </w:r>
          </w:p>
        </w:tc>
        <w:tc>
          <w:tcPr>
            <w:tcW w:type="dxa" w:w="19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账号与Business Center归属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线上运营团队、尼泊尔销售与收款主体、平台与广告账户主体</w:t>
            </w:r>
          </w:p>
        </w:tc>
        <w:tc>
          <w:tcPr>
            <w:tcW w:type="dxa" w:w="24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所有权、权限、移交</w:t>
            </w:r>
          </w:p>
        </w:tc>
        <w:tc>
          <w:tcPr>
            <w:tcW w:type="dxa" w:w="17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双方签字</w:t>
            </w:r>
          </w:p>
        </w:tc>
        <w:tc>
          <w:tcPr>
            <w:tcW w:type="dxa" w:w="92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D19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采购单位和购买者资料使用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线上运营团队、尼泊尔销售与收款主体</w:t>
            </w:r>
          </w:p>
        </w:tc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归属、用途、终止后处理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双方签字</w:t>
            </w:r>
          </w:p>
        </w:tc>
        <w:tc>
          <w:tcPr>
            <w:tcW w:type="dxa" w:w="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D20</w:t>
            </w:r>
          </w:p>
        </w:tc>
        <w:tc>
          <w:tcPr>
            <w:tcW w:type="dxa" w:w="19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复购与再次采购收益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线上运营团队、尼泊尔销售与收款主体、中国产品供应方</w:t>
            </w:r>
          </w:p>
        </w:tc>
        <w:tc>
          <w:tcPr>
            <w:tcW w:type="dxa" w:w="24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归因期、计算、结算</w:t>
            </w:r>
          </w:p>
        </w:tc>
        <w:tc>
          <w:tcPr>
            <w:tcW w:type="dxa" w:w="17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双方签字</w:t>
            </w:r>
          </w:p>
        </w:tc>
        <w:tc>
          <w:tcPr>
            <w:tcW w:type="dxa" w:w="92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D21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内容、素材和AI工作流权利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线上运营团队、汾酒品牌授权方、AI系统与技术执行方</w:t>
            </w:r>
          </w:p>
        </w:tc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使用、改编、导出、终止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双方签字</w:t>
            </w:r>
          </w:p>
        </w:tc>
        <w:tc>
          <w:tcPr>
            <w:tcW w:type="dxa" w:w="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D22</w:t>
            </w:r>
          </w:p>
        </w:tc>
        <w:tc>
          <w:tcPr>
            <w:tcW w:type="dxa" w:w="19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广告费、达人费和软件费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线上运营团队、尼泊尔销售与收款主体</w:t>
            </w:r>
          </w:p>
        </w:tc>
        <w:tc>
          <w:tcPr>
            <w:tcW w:type="dxa" w:w="24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预算、付款、超支与凭证</w:t>
            </w:r>
          </w:p>
        </w:tc>
        <w:tc>
          <w:tcPr>
            <w:tcW w:type="dxa" w:w="17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双方签字</w:t>
            </w:r>
          </w:p>
        </w:tc>
        <w:tc>
          <w:tcPr>
            <w:tcW w:type="dxa" w:w="92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D23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P0信息更新方式</w:t>
            </w:r>
          </w:p>
        </w:tc>
        <w:tc>
          <w:tcPr>
            <w:tcW w:type="dxa" w:w="1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中国产品供应方、尼泊尔仓储与履约团队、尼泊尔销售与收款主体、AI系统与技术执行方</w:t>
            </w:r>
          </w:p>
        </w:tc>
        <w:tc>
          <w:tcPr>
            <w:tcW w:type="dxa" w:w="24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库存、价格、配送、许可</w:t>
            </w:r>
          </w:p>
        </w:tc>
        <w:tc>
          <w:tcPr>
            <w:tcW w:type="dxa" w:w="17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更新责任表</w:t>
            </w:r>
          </w:p>
        </w:tc>
        <w:tc>
          <w:tcPr>
            <w:tcW w:type="dxa" w:w="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D24</w:t>
            </w:r>
          </w:p>
        </w:tc>
        <w:tc>
          <w:tcPr>
            <w:tcW w:type="dxa" w:w="19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90天试点范围与放量标准</w:t>
            </w:r>
          </w:p>
        </w:tc>
        <w:tc>
          <w:tcPr>
            <w:tcW w:type="dxa" w:w="17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线上运营团队、中国产品供应方、尼泊尔销售与收款主体</w:t>
            </w:r>
          </w:p>
        </w:tc>
        <w:tc>
          <w:tcPr>
            <w:tcW w:type="dxa" w:w="24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城市、SKU、预算、停线</w:t>
            </w:r>
          </w:p>
        </w:tc>
        <w:tc>
          <w:tcPr>
            <w:tcW w:type="dxa" w:w="17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阶段批准单</w:t>
            </w:r>
          </w:p>
        </w:tc>
        <w:tc>
          <w:tcPr>
            <w:tcW w:type="dxa" w:w="92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P1</w:t>
            </w:r>
          </w:p>
        </w:tc>
        <w:tc>
          <w:tcPr>
            <w:tcW w:type="dxa" w:w="142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____年__月__日</w:t>
            </w:r>
          </w:p>
        </w:tc>
        <w:tc>
          <w:tcPr>
            <w:tcW w:type="dxa" w:w="12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待确认</w:t>
            </w:r>
          </w:p>
        </w:tc>
        <w:tc>
          <w:tcPr>
            <w:tcW w:type="dxa" w:w="199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优先顺序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先完成合法主体、授权、许可和商品身份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再完成价格、库存、配送、收款和售后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再完成平台账号与内容/广告能力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再签账号、数据、复购和费用条款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最后批准90天试点和真实预算</w:t>
            </w:r>
          </w:p>
        </w:tc>
      </w:tr>
    </w:tbl>
    <w:p>
      <w:pPr>
        <w:spacing w:after="40"/>
      </w:pPr>
    </w:p>
    <w:p>
      <w:pPr>
        <w:pStyle w:val="Heading1"/>
      </w:pPr>
      <w:r>
        <w:t>决策记录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77"/>
        <w:gridCol w:w="1677"/>
        <w:gridCol w:w="2432"/>
        <w:gridCol w:w="2767"/>
        <w:gridCol w:w="2432"/>
        <w:gridCol w:w="1677"/>
        <w:gridCol w:w="1594"/>
      </w:tblGrid>
      <w:tr>
        <w:trPr>
          <w:tblHeader w:val="true"/>
        </w:trPr>
        <w:tc>
          <w:tcPr>
            <w:tcW w:type="dxa" w:w="167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决策编号</w:t>
            </w:r>
          </w:p>
        </w:tc>
        <w:tc>
          <w:tcPr>
            <w:tcW w:type="dxa" w:w="167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24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选择</w:t>
            </w:r>
          </w:p>
        </w:tc>
        <w:tc>
          <w:tcPr>
            <w:tcW w:type="dxa" w:w="276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理由</w:t>
            </w:r>
          </w:p>
        </w:tc>
        <w:tc>
          <w:tcPr>
            <w:tcW w:type="dxa" w:w="24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影响</w:t>
            </w:r>
          </w:p>
        </w:tc>
        <w:tc>
          <w:tcPr>
            <w:tcW w:type="dxa" w:w="167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批准人</w:t>
            </w:r>
          </w:p>
        </w:tc>
        <w:tc>
          <w:tcPr>
            <w:tcW w:type="dxa" w:w="159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复查日</w:t>
            </w:r>
          </w:p>
        </w:tc>
      </w:tr>
      <w:t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  <w:tc>
          <w:tcPr>
            <w:tcW w:type="dxa" w:w="15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双方确认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19_双方待确认决策清单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