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供应链正式资料提供及职责确认函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可直接发给产品、进口、销售、仓储与履约团队填写和签字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项目背景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职责确认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需提交的P0资料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汾酒专属资料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海鲜专属资料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交付与更新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缺失影响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订单与售后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归属待确认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10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回复与签字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项目背景</w:t>
      </w:r>
    </w:p>
    <w:p>
      <w:r>
        <w:rPr>
          <w:rFonts w:ascii="Hiragino Sans GB" w:hAnsi="Hiragino Sans GB" w:eastAsia="Hiragino Sans GB"/>
          <w:color w:val="1F2937"/>
          <w:sz w:val="21"/>
        </w:rPr>
        <w:t>为推进汾酒与海鲜产品在尼泊尔的线上展示、询问承接、B2B/B2C销售验证和AI辅助运营，双方需要先把产品、授权、许可、价格、库存、配送、收款和售后责任书面确认。本函不表示任何商品已经取得许可或已经具备正式销售条件。</w:t>
      </w:r>
    </w:p>
    <w:p>
      <w:pPr>
        <w:pStyle w:val="Heading1"/>
      </w:pPr>
      <w:r>
        <w:t>职责确认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4320"/>
        <w:gridCol w:w="2736"/>
      </w:tblGrid>
      <w:tr>
        <w:trPr>
          <w:tblHeader w:val="true"/>
        </w:trPr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负责事项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不转移给对方的责任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线上运营团队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市场研究、渠道、内容、AI内容、线上询问、CRM和复盘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不承担进口、许可、仓储、配送、质量、退款资金、召回、赔付和票据</w:t>
            </w:r>
          </w:p>
        </w:tc>
      </w:tr>
      <w:tr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产品与履约团队</w:t>
            </w:r>
          </w:p>
        </w:tc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真实商品、授权、许可、价格、库存、进口、仓储、配送、收款、售后和质量责任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不能把实物与当地责任交给线上内容人员承担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共同事项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商品上架、正式报价、内容发布、异常通知、阶段决策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任何共同动作仍需明确一个最终负责人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需提交的P0资料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1"/>
        <w:gridCol w:w="2771"/>
        <w:gridCol w:w="1786"/>
        <w:gridCol w:w="1478"/>
        <w:gridCol w:w="1478"/>
        <w:gridCol w:w="1046"/>
      </w:tblGrid>
      <w:tr>
        <w:trPr>
          <w:tblHeader w:val="true"/>
        </w:trPr>
        <w:tc>
          <w:tcPr>
            <w:tcW w:type="dxa" w:w="80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7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17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提供方</w:t>
            </w:r>
          </w:p>
        </w:tc>
        <w:tc>
          <w:tcPr>
            <w:tcW w:type="dxa" w:w="14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截止时间</w:t>
            </w:r>
          </w:p>
        </w:tc>
        <w:tc>
          <w:tcPr>
            <w:tcW w:type="dxa" w:w="14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10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A01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企业主体：中国供应企业登记文件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A02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企业主体：尼泊尔进口主体文件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A03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企业主体：尼泊尔销售与收款主体文件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A04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企业主体：仓储与履约主体文件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A05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企业主体：平台与广告账户主体说明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平台与广告账户主体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A06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企业主体：售后与退款执行主体说明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A07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企业主体：主体关系与授权链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尼泊尔进口主体、尼泊尔销售与收款主体、汾酒品牌授权方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A08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企业主体：负责人和紧急联系人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中国产品供应方、尼泊尔进口主体、尼泊尔销售与收款主体、尼泊尔仓储与履约团队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B01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品牌授权：尼泊尔地区授权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汾酒品牌授权方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B02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品牌授权：线上与TikTok宣传授权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汾酒品牌授权方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B03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品牌授权：电商与站外销售授权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汾酒品牌授权方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B05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品牌授权：素材商业使用与AI改编权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汾酒品牌授权方、中国产品供应方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C01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商品资料：商品唯一编号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C02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商品资料：中英文和尼泊尔销售名称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中国产品供应方、尼泊尔销售与收款主体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C03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商品资料：规格、净重和外箱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C04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商品资料：海关编码和原产地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C05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商品资料：保质期与储存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C07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商品资料：标签稿与实物一致性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C08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商品资料：上架与销售状态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线上运营团队、尼泊尔销售与收款主体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D01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合规资料：逐商品合规文件索引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D02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合规资料：酒类进口与销售许可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D03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合规资料：酒类完税与票据证明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尼泊尔进口主体、尼泊尔销售与收款主体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D04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合规资料：食品进口许可与EXIM Code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D05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合规资料：检测、卫生或检疫文件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D06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合规资料：包装与标签批准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尼泊尔进口主体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D07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合规资料：平台行业审核与后台回执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平台与广告账户主体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D08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合规资料：文件到期提醒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尼泊尔合规顾问、AI系统与技术执行方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E01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价格商务：供货价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E02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价格商务：B2B阶梯价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E03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价格商务：B2C建议价与平台价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E06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价格商务：配送费与免运门槛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F01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库存履约：实时库存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F02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库存履约：补货与缺货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中国产品供应方、尼泊尔仓储与履约团队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F03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库存履约：批次与有效期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F04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库存履约：配送范围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尼泊尔仓储与履约团队、第三方物流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F05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库存履约：截单与送达时效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尼泊尔仓储与履约团队、第三方物流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F07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库存履约：订单与配送状态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G01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售后：退款与不可退款规则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G02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售后：拒收、破损与缺货规则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尼泊尔仓储与履约团队、尼泊尔销售与收款主体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G03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售后：食品变质、融化与重量争议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G04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售后：酒类破损与疑似假货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汾酒品牌授权方、中国产品供应方、尼泊尔仓储与履约团队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G05</w:t>
            </w:r>
          </w:p>
        </w:tc>
        <w:tc>
          <w:tcPr>
            <w:tcW w:type="dxa" w:w="27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售后：召回与重大事件</w:t>
            </w:r>
          </w:p>
        </w:tc>
        <w:tc>
          <w:tcPr>
            <w:tcW w:type="dxa" w:w="17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中国产品供应方、尼泊尔进口主体、尼泊尔仓储与履约团队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  <w:tr>
        <w:tc>
          <w:tcPr>
            <w:tcW w:type="dxa" w:w="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G06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售后：赔付上限与审批</w:t>
            </w:r>
          </w:p>
        </w:tc>
        <w:tc>
          <w:tcPr>
            <w:tcW w:type="dxa" w:w="1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尼泊尔销售与收款主体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收到本函后7个自然日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待提供</w:t>
            </w:r>
          </w:p>
        </w:tc>
      </w:tr>
    </w:tbl>
    <w:p>
      <w:pPr>
        <w:spacing w:after="40"/>
      </w:pPr>
    </w:p>
    <w:p>
      <w:pPr>
        <w:pStyle w:val="Heading1"/>
      </w:pPr>
      <w:r>
        <w:t>汾酒专属资料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0"/>
        <w:gridCol w:w="3900"/>
        <w:gridCol w:w="1820"/>
        <w:gridCol w:w="1300"/>
        <w:gridCol w:w="1430"/>
      </w:tblGrid>
      <w:tr>
        <w:trPr>
          <w:tblHeader w:val="true"/>
        </w:trPr>
        <w:tc>
          <w:tcPr>
            <w:tcW w:type="dxa" w:w="9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需要提供或验证</w:t>
            </w:r>
          </w:p>
        </w:tc>
        <w:tc>
          <w:tcPr>
            <w:tcW w:type="dxa" w:w="18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13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截止时间</w:t>
            </w:r>
          </w:p>
        </w:tc>
        <w:tc>
          <w:tcPr>
            <w:tcW w:type="dxa" w:w="143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产品系列与正式名称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P02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香型、原料、工艺与产区依据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酒精度、容量、包装与条码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P04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酒体与风味的批准表达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适用场景和禁止表达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汾酒品牌授权方、尼泊尔合规顾问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P06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尼泊尔现货、批次与可售库存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当地价格、配送范围和时效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尼泊尔销售与收款主体、尼泊尔仓储与履约团队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P08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年龄提示和责任饮酒提示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尼泊尔合规顾问、尼泊尔销售与收款主体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酒类进口许可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L02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酒类销售与消费税许可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品牌经销与尼泊尔授权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L04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逐批完税、票据和消费税标识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标签、酒精度和警示语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L06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网络销售与配送到家书面意见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L07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直播、达人、赠送和抽奖书面意见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尼泊尔合规顾问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普通教育内容能力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注册企业账户或受管制行业授权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T03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自助广告账户开户能力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尼泊尔地域定向能力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T05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酒类广告行业资格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主页外链与购买导流能力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T07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商品挂载和Showcase能力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Shop与站内支付能力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T09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LIVE开播与酒类内容能力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像素、Events API与转化追踪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平台与广告账户主体、AI系统与技术执行方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T11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后台截图、审核日期与状态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T12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驳回原因、申诉和结果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品牌历史与官方故事证明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官方荣誉与适用产品证明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C03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防伪和真伪验证方法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汾酒品牌授权方、中国产品供应方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瓶体、酒盒、透明底和360度素材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C05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倒酒、开箱、仓库和门店实拍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中国产品供应方、尼泊尔仓储与履约团队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Logo规范、禁改区域和AI改编权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汾酒品牌授权方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公开动作前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</w:tbl>
    <w:p>
      <w:pPr>
        <w:spacing w:after="40"/>
      </w:pPr>
    </w:p>
    <w:p>
      <w:pPr>
        <w:pStyle w:val="Heading1"/>
      </w:pPr>
      <w:r>
        <w:t>海鲜专属资料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0"/>
        <w:gridCol w:w="3900"/>
        <w:gridCol w:w="1820"/>
        <w:gridCol w:w="1300"/>
        <w:gridCol w:w="1430"/>
      </w:tblGrid>
      <w:tr>
        <w:trPr>
          <w:tblHeader w:val="true"/>
        </w:trPr>
        <w:tc>
          <w:tcPr>
            <w:tcW w:type="dxa" w:w="9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需要提供或验证</w:t>
            </w:r>
          </w:p>
        </w:tc>
        <w:tc>
          <w:tcPr>
            <w:tcW w:type="dxa" w:w="18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13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截止时间</w:t>
            </w:r>
          </w:p>
        </w:tc>
        <w:tc>
          <w:tcPr>
            <w:tcW w:type="dxa" w:w="143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商品中文名、英文名、当地名称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中国产品供应方、尼泊尔销售与收款主体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I02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科学名称、物种与品类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捕捞或养殖、产区和加工厂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I04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产品形态、生熟、调味与添加剂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裹冰比例、标称净重和解冻后重量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I06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可食用比例和单只规格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包装、储存温度和保质期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I08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解冻方法、解冻后保存和烹饪要求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I09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过敏提示和营养信息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中国产品供应方、尼泊尔进口主体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B2B商品目录与规格表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阶梯报价、最低订货量与有效期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中国产品供应方、尼泊尔销售与收款主体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B03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样品政策和费用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检测与许可资料包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中国产品供应方、尼泊尔进口主体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B05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出品率、解冻损耗和单份成本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推荐菜品和售价参考依据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中国产品供应方、线上运营团队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B07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真实合作案例及使用授权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供货能力和定制规格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B09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合同、账期与大额审批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区域保护和返点政策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B2C标题、卖点和份量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中国产品供应方、线上运营团队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够几人使用和收货状态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中国产品供应方、尼泊尔仓储与履约团队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C03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是否处理、是否带壳和裹冰说明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解冻、保存、烹饪和过敏提示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C05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配送、拒收和退款说明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尼泊尔仓储与履约团队、尼泊尔销售与收款主体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真实图片、包装图和解冻前后图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C07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菜品效果图及使用权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中国产品供应方、线上运营团队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C08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英文和尼泊尔语版本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H01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冷链温度与连续记录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尼泊尔仓储与履约团队、第三方物流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送达状态与解冻程度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尼泊尔仓储与履约团队、第三方物流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H03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质量判断和拍照标准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中国产品供应方、尼泊尔仓储与履约团队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解冻后退款边界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尼泊尔销售与收款主体、中国产品供应方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H05</w:t>
            </w:r>
          </w:p>
        </w:tc>
        <w:tc>
          <w:tcPr>
            <w:tcW w:type="dxa" w:w="39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配送超时处理</w:t>
            </w:r>
          </w:p>
        </w:tc>
        <w:tc>
          <w:tcPr>
            <w:tcW w:type="dxa" w:w="18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尼泊尔仓储与履约团队、第三方物流</w:t>
            </w:r>
          </w:p>
        </w:tc>
        <w:tc>
          <w:tcPr>
            <w:tcW w:type="dxa" w:w="13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  <w:tr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拒收商品隔离与处置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尼泊尔仓储与履约团队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首批商品审核前</w:t>
            </w:r>
          </w:p>
        </w:tc>
        <w:tc>
          <w:tcPr>
            <w:tcW w:type="dxa" w:w="1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待提供/待验证</w:t>
            </w:r>
          </w:p>
        </w:tc>
      </w:tr>
    </w:tbl>
    <w:p>
      <w:pPr>
        <w:spacing w:after="40"/>
      </w:pPr>
    </w:p>
    <w:p>
      <w:pPr>
        <w:pStyle w:val="Heading1"/>
      </w:pPr>
      <w:r>
        <w:t>交付与更新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72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交付形式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填写本套DOCX；证书、许可、检测和授权另附PDF/JPG；不得只发聊天截图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适用范围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每份资料写明适用SKU、批次、主体、国家、渠道和有效期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库存与订单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实时或15分钟内更新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变化前更新并写明生效时间；旧版本自动失效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许可与授权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到期前60日通知</w:t>
            </w:r>
          </w:p>
        </w:tc>
      </w:tr>
      <w:tr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包装、停产、缺货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一般提前2个工作日；已知后不得延迟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质量、停售、召回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立即通知并启动应急</w:t>
            </w:r>
          </w:p>
        </w:tc>
      </w:tr>
    </w:tbl>
    <w:p>
      <w:pPr>
        <w:spacing w:after="40"/>
      </w:pPr>
    </w:p>
    <w:p>
      <w:pPr>
        <w:pStyle w:val="Heading1"/>
      </w:pPr>
      <w:r>
        <w:t>缺失影响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阻断  </w:t>
      </w:r>
      <w:r>
        <w:rPr>
          <w:rFonts w:ascii="Hiragino Sans GB" w:hAnsi="Hiragino Sans GB" w:eastAsia="Hiragino Sans GB"/>
          <w:color w:val="1F2937"/>
          <w:sz w:val="21"/>
        </w:rPr>
        <w:t>资料缺失不会由AI或线上运营团队补猜。缺主体、授权、许可、商品身份、价格、库存、配送、收款、售后或质量责任，将分别阻断发布、报价、上架、投流、成交或放量。</w:t>
      </w:r>
    </w:p>
    <w:p>
      <w:pPr>
        <w:pStyle w:val="Heading1"/>
      </w:pPr>
      <w:r>
        <w:t>订单与售后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3024"/>
        <w:gridCol w:w="3312"/>
      </w:tblGrid>
      <w:tr>
        <w:trPr>
          <w:tblHeader w:val="true"/>
        </w:trPr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由谁执行</w:t>
            </w:r>
          </w:p>
        </w:tc>
        <w:tc>
          <w:tcPr>
            <w:tcW w:type="dxa" w:w="33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需要在本函确认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订单确认、收款和票据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尼泊尔销售与收款主体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主体、时限、联系方式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库存锁定、出库和配送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仓储与履约团队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仓库、范围、时效、费用、上限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退款、拒收、补发和赔付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尼泊尔销售主体＋对应责任方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规则、时限、资金来源、上限</w:t>
            </w:r>
          </w:p>
        </w:tc>
      </w:tr>
      <w:tr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质量调查和召回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产品供应方＋尼泊尔进口主体</w:t>
            </w:r>
          </w:p>
        </w:tc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第一负责人、最终负责人、批次追踪</w:t>
            </w:r>
          </w:p>
        </w:tc>
      </w:tr>
    </w:tbl>
    <w:p>
      <w:pPr>
        <w:spacing w:after="40"/>
      </w:pPr>
    </w:p>
    <w:p>
      <w:pPr>
        <w:pStyle w:val="Heading1"/>
      </w:pPr>
      <w:r>
        <w:t>归属待确认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72"/>
        <w:gridCol w:w="3888"/>
      </w:tblGrid>
      <w:tr>
        <w:trPr>
          <w:tblHeader w:val="true"/>
        </w:trPr>
        <w:tc>
          <w:tcPr>
            <w:tcW w:type="dxa" w:w="5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8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双方选择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TikTok账号、Business Center、广告账户、邮箱和手机号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独立站、域名、CRM、数据库、广告数据和像素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B2B采购单位资料、B2C购买者资料和复购收益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达人资源、内容版权、AI工作流和合作终止导出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广告费、达人费、软件费和其他预算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回复与签字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738"/>
        <w:gridCol w:w="1471"/>
        <w:gridCol w:w="1471"/>
        <w:gridCol w:w="1471"/>
        <w:gridCol w:w="1337"/>
      </w:tblGrid>
      <w:tr>
        <w:trPr>
          <w:tblHeader w:val="true"/>
        </w:trPr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收函方</w:t>
            </w:r>
          </w:p>
        </w:tc>
        <w:tc>
          <w:tcPr>
            <w:tcW w:type="dxa" w:w="17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14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总负责人</w:t>
            </w:r>
          </w:p>
        </w:tc>
        <w:tc>
          <w:tcPr>
            <w:tcW w:type="dxa" w:w="14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资料联系人</w:t>
            </w:r>
          </w:p>
        </w:tc>
        <w:tc>
          <w:tcPr>
            <w:tcW w:type="dxa" w:w="14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首次提交日期</w:t>
            </w:r>
          </w:p>
        </w:tc>
        <w:tc>
          <w:tcPr>
            <w:tcW w:type="dxa" w:w="133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确认意见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□同意 □需调整</w:t>
            </w:r>
          </w:p>
        </w:tc>
      </w:tr>
    </w:tbl>
    <w:p>
      <w:pPr>
        <w:spacing w:after="40"/>
      </w:pPr>
    </w:p>
    <w:p>
      <w:pPr>
        <w:pStyle w:val="Heading1"/>
      </w:pPr>
      <w:r>
        <w:t>正式确认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88"/>
        <w:gridCol w:w="1728"/>
        <w:gridCol w:w="2088"/>
        <w:gridCol w:w="1512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20_供应链正式资料提供及职责确认函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