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60" w:after="240"/>
      </w:pPr>
      <w:r>
        <w:rPr>
          <w:rFonts w:ascii="Hiragino Sans GB" w:hAnsi="Hiragino Sans GB" w:eastAsia="Hiragino Sans GB"/>
          <w:b/>
          <w:color w:val="1F4D78"/>
          <w:sz w:val="52"/>
        </w:rPr>
        <w:t>供应链首次沟通会议清单</w:t>
      </w:r>
    </w:p>
    <w:p>
      <w:pPr>
        <w:spacing w:after="400"/>
      </w:pPr>
      <w:r>
        <w:rPr>
          <w:rFonts w:ascii="Hiragino Sans GB" w:hAnsi="Hiragino Sans GB" w:eastAsia="Hiragino Sans GB"/>
          <w:color w:val="667085"/>
          <w:sz w:val="24"/>
        </w:rPr>
        <w:t>90分钟完成角色、P0资料、责任人、时限、阻断和下一步确认</w:t>
      </w:r>
    </w:p>
    <w:p>
      <w:pPr>
        <w:spacing w:after="320"/>
      </w:pPr>
      <w:r>
        <w:rPr>
          <w:rFonts w:ascii="Hiragino Sans GB" w:hAnsi="Hiragino Sans GB" w:eastAsia="Hiragino Sans GB"/>
          <w:b/>
          <w:color w:val="1F2937"/>
          <w:sz w:val="18"/>
        </w:rPr>
        <w:t>核验日期：</w:t>
      </w:r>
      <w:r>
        <w:rPr>
          <w:rFonts w:ascii="Hiragino Sans GB" w:hAnsi="Hiragino Sans GB" w:eastAsia="Hiragino Sans GB"/>
          <w:color w:val="667085"/>
          <w:sz w:val="18"/>
        </w:rPr>
        <w:t>2026-07-27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当前状态：</w:t>
      </w:r>
      <w:r>
        <w:rPr>
          <w:rFonts w:ascii="Hiragino Sans GB" w:hAnsi="Hiragino Sans GB" w:eastAsia="Hiragino Sans GB"/>
          <w:color w:val="667085"/>
          <w:sz w:val="18"/>
        </w:rPr>
        <w:t>部分完成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判断方式：</w:t>
      </w:r>
      <w:r>
        <w:rPr>
          <w:rFonts w:ascii="Hiragino Sans GB" w:hAnsi="Hiragino Sans GB" w:eastAsia="Hiragino Sans GB"/>
          <w:color w:val="667085"/>
          <w:sz w:val="18"/>
        </w:rPr>
        <w:t>已确认 / 部分成立 / 待验证 / 推测</w:t>
        <w:br/>
      </w:r>
      <w:r>
        <w:rPr>
          <w:rFonts w:ascii="Hiragino Sans GB" w:hAnsi="Hiragino Sans GB" w:eastAsia="Hiragino Sans GB"/>
          <w:b/>
          <w:color w:val="1F2937"/>
          <w:sz w:val="18"/>
        </w:rPr>
        <w:t>版本：</w:t>
      </w:r>
      <w:r>
        <w:rPr>
          <w:rFonts w:ascii="Hiragino Sans GB" w:hAnsi="Hiragino Sans GB" w:eastAsia="Hiragino Sans GB"/>
          <w:color w:val="667085"/>
          <w:sz w:val="18"/>
        </w:rPr>
        <w:t>v1.0 合作确认稿</w:t>
        <w:br/>
      </w:r>
    </w:p>
    <w:p>
      <w:pPr>
        <w:spacing w:before="80" w:after="180"/>
        <w:shd w:fill="FFF4CE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使用提醒  </w:t>
      </w:r>
      <w:r>
        <w:rPr>
          <w:rFonts w:ascii="Hiragino Sans GB" w:hAnsi="Hiragino Sans GB" w:eastAsia="Hiragino Sans GB"/>
          <w:color w:val="1F2937"/>
          <w:sz w:val="21"/>
        </w:rPr>
        <w:t>本文件用于责任确认、资料准备和上线判断。未取得真实资料、当地专业意见或平台后台结果的事项，均保持待确认，不作为正式销售承诺。</w:t>
      </w:r>
    </w:p>
    <w:p>
      <w:r>
        <w:br w:type="page"/>
      </w:r>
    </w:p>
    <w:p>
      <w:pPr>
        <w:pStyle w:val="Heading1"/>
      </w:pPr>
      <w:r>
        <w:t>阅读目录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8"/>
        <w:gridCol w:w="8352"/>
      </w:tblGrid>
      <w:tr>
        <w:trPr>
          <w:tblHeader w:val="true"/>
        </w:trPr>
        <w:tc>
          <w:tcPr>
            <w:tcW w:type="dxa" w:w="100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835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会议目标</w:t>
            </w:r>
          </w:p>
        </w:tc>
      </w:tr>
      <w:tr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2</w:t>
            </w:r>
          </w:p>
        </w:tc>
        <w:tc>
          <w:tcPr>
            <w:tcW w:type="dxa" w:w="83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参会角色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3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会前准备</w:t>
            </w:r>
          </w:p>
        </w:tc>
      </w:tr>
      <w:tr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4</w:t>
            </w:r>
          </w:p>
        </w:tc>
        <w:tc>
          <w:tcPr>
            <w:tcW w:type="dxa" w:w="83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会议议程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5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必须现场决定</w:t>
            </w:r>
          </w:p>
        </w:tc>
      </w:tr>
      <w:tr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6</w:t>
            </w:r>
          </w:p>
        </w:tc>
        <w:tc>
          <w:tcPr>
            <w:tcW w:type="dxa" w:w="83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会议记录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7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会后任务</w:t>
            </w:r>
          </w:p>
        </w:tc>
      </w:tr>
    </w:tbl>
    <w:p>
      <w:pPr>
        <w:spacing w:after="40"/>
      </w:pPr>
    </w:p>
    <w:p>
      <w:r>
        <w:rPr>
          <w:rFonts w:ascii="Hiragino Sans GB" w:hAnsi="Hiragino Sans GB" w:eastAsia="Hiragino Sans GB"/>
          <w:b/>
          <w:color w:val="667085"/>
          <w:sz w:val="18"/>
        </w:rPr>
        <w:t>可更新目录：</w:t>
      </w:r>
      <w:r>
        <w:fldChar w:fldCharType="begin"/>
        <w:instrText xml:space="preserve">TOC \o "1-3" \h \z \u</w:instrText>
        <w:fldChar w:fldCharType="separate"/>
        <w:t>在 Word/WPS 中更新目录</w:t>
        <w:fldChar w:fldCharType="end"/>
      </w:r>
    </w:p>
    <w:p>
      <w:pPr>
        <w:pStyle w:val="Heading1"/>
      </w:pPr>
      <w:r>
        <w:t>会议目标</w:t>
      </w:r>
    </w:p>
    <w:p>
      <w:pPr>
        <w:spacing w:before="80" w:after="180"/>
        <w:shd w:fill="EAF6EF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会议结果  </w:t>
      </w:r>
      <w:r>
        <w:rPr>
          <w:rFonts w:ascii="Hiragino Sans GB" w:hAnsi="Hiragino Sans GB" w:eastAsia="Hiragino Sans GB"/>
          <w:color w:val="1F2937"/>
          <w:sz w:val="21"/>
        </w:rPr>
        <w:t>会议结束时，不要求所有资料已经齐全，但必须明确：谁提供、提供什么、何时交、谁复核、缺失会停在哪里。</w:t>
      </w:r>
    </w:p>
    <w:p>
      <w:pPr>
        <w:pStyle w:val="Heading1"/>
      </w:pPr>
      <w:r>
        <w:t>参会角色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032"/>
        <w:gridCol w:w="3744"/>
        <w:gridCol w:w="1584"/>
      </w:tblGrid>
      <w:tr>
        <w:trPr>
          <w:tblHeader w:val="true"/>
        </w:trPr>
        <w:tc>
          <w:tcPr>
            <w:tcW w:type="dxa" w:w="403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374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姓名/公司</w:t>
            </w:r>
          </w:p>
        </w:tc>
        <w:tc>
          <w:tcPr>
            <w:tcW w:type="dxa" w:w="158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是否到会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线上运营团队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________________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□</w:t>
            </w:r>
          </w:p>
        </w:tc>
      </w:tr>
      <w:tr>
        <w:tc>
          <w:tcPr>
            <w:tcW w:type="dxa" w:w="40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中国产品供应方</w:t>
            </w:r>
          </w:p>
        </w:tc>
        <w:tc>
          <w:tcPr>
            <w:tcW w:type="dxa" w:w="37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________________</w:t>
            </w:r>
          </w:p>
        </w:tc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□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汾酒品牌授权方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________________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□</w:t>
            </w:r>
          </w:p>
        </w:tc>
      </w:tr>
      <w:tr>
        <w:tc>
          <w:tcPr>
            <w:tcW w:type="dxa" w:w="40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尼泊尔进口主体</w:t>
            </w:r>
          </w:p>
        </w:tc>
        <w:tc>
          <w:tcPr>
            <w:tcW w:type="dxa" w:w="37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________________</w:t>
            </w:r>
          </w:p>
        </w:tc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□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尼泊尔销售与收款主体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________________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□</w:t>
            </w:r>
          </w:p>
        </w:tc>
      </w:tr>
      <w:tr>
        <w:tc>
          <w:tcPr>
            <w:tcW w:type="dxa" w:w="40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尼泊尔仓储与履约团队</w:t>
            </w:r>
          </w:p>
        </w:tc>
        <w:tc>
          <w:tcPr>
            <w:tcW w:type="dxa" w:w="37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________________</w:t>
            </w:r>
          </w:p>
        </w:tc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□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尼泊尔合规顾问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________________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□</w:t>
            </w:r>
          </w:p>
        </w:tc>
      </w:tr>
      <w:tr>
        <w:tc>
          <w:tcPr>
            <w:tcW w:type="dxa" w:w="40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平台与广告账户主体</w:t>
            </w:r>
          </w:p>
        </w:tc>
        <w:tc>
          <w:tcPr>
            <w:tcW w:type="dxa" w:w="37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________________</w:t>
            </w:r>
          </w:p>
        </w:tc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□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支付服务机构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________________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□</w:t>
            </w:r>
          </w:p>
        </w:tc>
      </w:tr>
      <w:tr>
        <w:tc>
          <w:tcPr>
            <w:tcW w:type="dxa" w:w="40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第三方物流</w:t>
            </w:r>
          </w:p>
        </w:tc>
        <w:tc>
          <w:tcPr>
            <w:tcW w:type="dxa" w:w="37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________________</w:t>
            </w:r>
          </w:p>
        </w:tc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□</w:t>
            </w:r>
          </w:p>
        </w:tc>
      </w:tr>
      <w:tr>
        <w:tc>
          <w:tcPr>
            <w:tcW w:type="dxa" w:w="40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达人或联盟合作方</w:t>
            </w:r>
          </w:p>
        </w:tc>
        <w:tc>
          <w:tcPr>
            <w:tcW w:type="dxa" w:w="37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________________</w:t>
            </w:r>
          </w:p>
        </w:tc>
        <w:tc>
          <w:tcPr>
            <w:tcW w:type="dxa" w:w="15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□</w:t>
            </w:r>
          </w:p>
        </w:tc>
      </w:tr>
      <w:tr>
        <w:tc>
          <w:tcPr>
            <w:tcW w:type="dxa" w:w="40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AI系统与技术执行方</w:t>
            </w:r>
          </w:p>
        </w:tc>
        <w:tc>
          <w:tcPr>
            <w:tcW w:type="dxa" w:w="37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________________</w:t>
            </w:r>
          </w:p>
        </w:tc>
        <w:tc>
          <w:tcPr>
            <w:tcW w:type="dxa" w:w="158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□</w:t>
            </w:r>
          </w:p>
        </w:tc>
      </w:tr>
    </w:tbl>
    <w:p>
      <w:pPr>
        <w:spacing w:after="40"/>
      </w:pPr>
    </w:p>
    <w:p>
      <w:pPr>
        <w:pStyle w:val="Heading1"/>
      </w:pPr>
      <w:r>
        <w:t>会前准备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36"/>
        <w:gridCol w:w="6624"/>
      </w:tblGrid>
      <w:tr>
        <w:trPr>
          <w:tblHeader w:val="true"/>
        </w:trPr>
        <w:tc>
          <w:tcPr>
            <w:tcW w:type="dxa" w:w="273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准备方</w:t>
            </w:r>
          </w:p>
        </w:tc>
        <w:tc>
          <w:tcPr>
            <w:tcW w:type="dxa" w:w="662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带到会议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线上运营团队</w:t>
            </w:r>
          </w:p>
        </w:tc>
        <w:tc>
          <w:tcPr>
            <w:tcW w:type="dxa" w:w="6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现有方案、资料包、当前缺口、账号清单、试点建议</w:t>
            </w:r>
          </w:p>
        </w:tc>
      </w:tr>
      <w:tr>
        <w:tc>
          <w:tcPr>
            <w:tcW w:type="dxa" w:w="273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中国产品供应方</w:t>
            </w:r>
          </w:p>
        </w:tc>
        <w:tc>
          <w:tcPr>
            <w:tcW w:type="dxa" w:w="66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首批候选SKU、规格、图片、价格、库存、检测、授权和出口资料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尼泊尔进口/销售主体</w:t>
            </w:r>
          </w:p>
        </w:tc>
        <w:tc>
          <w:tcPr>
            <w:tcW w:type="dxa" w:w="6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公司、EXIM Code、许可、收款、票据、仓库、配送和售后资料</w:t>
            </w:r>
          </w:p>
        </w:tc>
      </w:tr>
      <w:tr>
        <w:tc>
          <w:tcPr>
            <w:tcW w:type="dxa" w:w="273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合规顾问</w:t>
            </w:r>
          </w:p>
        </w:tc>
        <w:tc>
          <w:tcPr>
            <w:tcW w:type="dxa" w:w="662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酒类广告/销售与海鲜进口/标签的初步问题单</w:t>
            </w:r>
          </w:p>
        </w:tc>
      </w:tr>
      <w:tr>
        <w:tc>
          <w:tcPr>
            <w:tcW w:type="dxa" w:w="273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平台账户负责人</w:t>
            </w:r>
          </w:p>
        </w:tc>
        <w:tc>
          <w:tcPr>
            <w:tcW w:type="dxa" w:w="66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实际账号、Business Center和后台截图</w:t>
            </w:r>
          </w:p>
        </w:tc>
      </w:tr>
    </w:tbl>
    <w:p>
      <w:pPr>
        <w:spacing w:after="40"/>
      </w:pPr>
    </w:p>
    <w:p>
      <w:pPr>
        <w:pStyle w:val="Heading1"/>
      </w:pPr>
      <w:r>
        <w:t>会议议程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56"/>
        <w:gridCol w:w="3888"/>
        <w:gridCol w:w="3816"/>
      </w:tblGrid>
      <w:tr>
        <w:trPr>
          <w:tblHeader w:val="true"/>
        </w:trPr>
        <w:tc>
          <w:tcPr>
            <w:tcW w:type="dxa" w:w="165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时间</w:t>
            </w:r>
          </w:p>
        </w:tc>
        <w:tc>
          <w:tcPr>
            <w:tcW w:type="dxa" w:w="388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议题</w:t>
            </w:r>
          </w:p>
        </w:tc>
        <w:tc>
          <w:tcPr>
            <w:tcW w:type="dxa" w:w="381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7"/>
              </w:rPr>
              <w:t>输出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0-10分钟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项目目标与不可越过的责任边界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边界确认</w:t>
            </w:r>
          </w:p>
        </w:tc>
      </w:tr>
      <w:tr>
        <w:tc>
          <w:tcPr>
            <w:tcW w:type="dxa" w:w="165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10-25分钟</w:t>
            </w:r>
          </w:p>
        </w:tc>
        <w:tc>
          <w:tcPr>
            <w:tcW w:type="dxa" w:w="38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12个角色由谁承担</w:t>
            </w:r>
          </w:p>
        </w:tc>
        <w:tc>
          <w:tcPr>
            <w:tcW w:type="dxa" w:w="381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角色与主备负责人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25-45分钟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汾酒P0与TikTok酒类闸门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书面验证任务</w:t>
            </w:r>
          </w:p>
        </w:tc>
      </w:tr>
      <w:tr>
        <w:tc>
          <w:tcPr>
            <w:tcW w:type="dxa" w:w="165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45-65分钟</w:t>
            </w:r>
          </w:p>
        </w:tc>
        <w:tc>
          <w:tcPr>
            <w:tcW w:type="dxa" w:w="38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海鲜P0、B2B/B2C与冷链</w:t>
            </w:r>
          </w:p>
        </w:tc>
        <w:tc>
          <w:tcPr>
            <w:tcW w:type="dxa" w:w="381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首批SKU资料任务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65-75分钟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价格、库存、订单、退款和SLA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更新与应急时限</w:t>
            </w:r>
          </w:p>
        </w:tc>
      </w:tr>
      <w:tr>
        <w:tc>
          <w:tcPr>
            <w:tcW w:type="dxa" w:w="165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75-85分钟</w:t>
            </w:r>
          </w:p>
        </w:tc>
        <w:tc>
          <w:tcPr>
            <w:tcW w:type="dxa" w:w="38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账号、数据、复购和费用</w:t>
            </w:r>
          </w:p>
        </w:tc>
        <w:tc>
          <w:tcPr>
            <w:tcW w:type="dxa" w:w="381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待签选择</w:t>
            </w:r>
          </w:p>
        </w:tc>
      </w:tr>
      <w:tr>
        <w:tc>
          <w:tcPr>
            <w:tcW w:type="dxa" w:w="16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85-90分钟</w:t>
            </w:r>
          </w:p>
        </w:tc>
        <w:tc>
          <w:tcPr>
            <w:tcW w:type="dxa" w:w="38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复述任务、截止时间和下一次会议</w:t>
            </w:r>
          </w:p>
        </w:tc>
        <w:tc>
          <w:tcPr>
            <w:tcW w:type="dxa" w:w="381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7"/>
              </w:rPr>
              <w:t>会议行动表</w:t>
            </w:r>
          </w:p>
        </w:tc>
      </w:tr>
    </w:tbl>
    <w:p>
      <w:pPr>
        <w:spacing w:after="40"/>
      </w:pPr>
    </w:p>
    <w:p>
      <w:pPr>
        <w:pStyle w:val="Heading1"/>
      </w:pPr>
      <w:r>
        <w:t>必须现场决定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264"/>
        <w:gridCol w:w="3096"/>
      </w:tblGrid>
      <w:tr>
        <w:trPr>
          <w:tblHeader w:val="true"/>
        </w:trPr>
        <w:tc>
          <w:tcPr>
            <w:tcW w:type="dxa" w:w="626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问题</w:t>
            </w:r>
          </w:p>
        </w:tc>
        <w:tc>
          <w:tcPr>
            <w:tcW w:type="dxa" w:w="309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决定</w:t>
            </w:r>
          </w:p>
        </w:tc>
      </w:tr>
      <w:tr>
        <w:tc>
          <w:tcPr>
            <w:tcW w:type="dxa" w:w="6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谁是尼泊尔进口、销售、收款、仓储和售后的最终负责人？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</w:tr>
      <w:tr>
        <w:tc>
          <w:tcPr>
            <w:tcW w:type="dxa" w:w="62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汾酒和海鲜首批分别准备哪些SKU？</w:t>
            </w:r>
          </w:p>
        </w:tc>
        <w:tc>
          <w:tcPr>
            <w:tcW w:type="dxa" w:w="30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</w:tr>
      <w:tr>
        <w:tc>
          <w:tcPr>
            <w:tcW w:type="dxa" w:w="6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P0资料最晚何时提交？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</w:tr>
      <w:tr>
        <w:tc>
          <w:tcPr>
            <w:tcW w:type="dxa" w:w="62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价格、库存和配送由什么方式更新？</w:t>
            </w:r>
          </w:p>
        </w:tc>
        <w:tc>
          <w:tcPr>
            <w:tcW w:type="dxa" w:w="30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</w:tr>
      <w:tr>
        <w:tc>
          <w:tcPr>
            <w:tcW w:type="dxa" w:w="62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重大质量、许可或平台问题通知谁？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</w:tr>
      <w:tr>
        <w:tc>
          <w:tcPr>
            <w:tcW w:type="dxa" w:w="62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下一次复核会议何时进行？</w:t>
            </w:r>
          </w:p>
        </w:tc>
        <w:tc>
          <w:tcPr>
            <w:tcW w:type="dxa" w:w="30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</w:tr>
    </w:tbl>
    <w:p>
      <w:pPr>
        <w:spacing w:after="40"/>
      </w:pPr>
    </w:p>
    <w:p>
      <w:pPr>
        <w:pStyle w:val="Heading1"/>
      </w:pPr>
      <w:r>
        <w:t>会议记录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64"/>
        <w:gridCol w:w="1991"/>
        <w:gridCol w:w="1991"/>
        <w:gridCol w:w="996"/>
        <w:gridCol w:w="1261"/>
        <w:gridCol w:w="1129"/>
        <w:gridCol w:w="1328"/>
      </w:tblGrid>
      <w:tr>
        <w:trPr>
          <w:tblHeader w:val="true"/>
        </w:trPr>
        <w:tc>
          <w:tcPr>
            <w:tcW w:type="dxa" w:w="66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199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讨论</w:t>
            </w:r>
          </w:p>
        </w:tc>
        <w:tc>
          <w:tcPr>
            <w:tcW w:type="dxa" w:w="199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结论</w:t>
            </w:r>
          </w:p>
        </w:tc>
        <w:tc>
          <w:tcPr>
            <w:tcW w:type="dxa" w:w="99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1261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负责人</w:t>
            </w:r>
          </w:p>
        </w:tc>
        <w:tc>
          <w:tcPr>
            <w:tcW w:type="dxa" w:w="1129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截止日</w:t>
            </w:r>
          </w:p>
        </w:tc>
        <w:tc>
          <w:tcPr>
            <w:tcW w:type="dxa" w:w="132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证据</w:t>
            </w:r>
          </w:p>
        </w:tc>
      </w:tr>
      <w:tr>
        <w:tc>
          <w:tcPr>
            <w:tcW w:type="dxa" w:w="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1</w:t>
            </w:r>
          </w:p>
        </w:tc>
        <w:tc>
          <w:tcPr>
            <w:tcW w:type="dxa" w:w="19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19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9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待确认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11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1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</w:tr>
      <w:tr>
        <w:tc>
          <w:tcPr>
            <w:tcW w:type="dxa" w:w="6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2</w:t>
            </w:r>
          </w:p>
        </w:tc>
        <w:tc>
          <w:tcPr>
            <w:tcW w:type="dxa" w:w="199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199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9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待确认</w:t>
            </w:r>
          </w:p>
        </w:tc>
        <w:tc>
          <w:tcPr>
            <w:tcW w:type="dxa" w:w="126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112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13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</w:tr>
      <w:tr>
        <w:tc>
          <w:tcPr>
            <w:tcW w:type="dxa" w:w="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3</w:t>
            </w:r>
          </w:p>
        </w:tc>
        <w:tc>
          <w:tcPr>
            <w:tcW w:type="dxa" w:w="19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19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9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待确认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11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1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</w:tr>
      <w:tr>
        <w:tc>
          <w:tcPr>
            <w:tcW w:type="dxa" w:w="6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4</w:t>
            </w:r>
          </w:p>
        </w:tc>
        <w:tc>
          <w:tcPr>
            <w:tcW w:type="dxa" w:w="199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199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9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待确认</w:t>
            </w:r>
          </w:p>
        </w:tc>
        <w:tc>
          <w:tcPr>
            <w:tcW w:type="dxa" w:w="126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112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13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</w:tr>
      <w:tr>
        <w:tc>
          <w:tcPr>
            <w:tcW w:type="dxa" w:w="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5</w:t>
            </w:r>
          </w:p>
        </w:tc>
        <w:tc>
          <w:tcPr>
            <w:tcW w:type="dxa" w:w="19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19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9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待确认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11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1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</w:tr>
      <w:tr>
        <w:tc>
          <w:tcPr>
            <w:tcW w:type="dxa" w:w="6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6</w:t>
            </w:r>
          </w:p>
        </w:tc>
        <w:tc>
          <w:tcPr>
            <w:tcW w:type="dxa" w:w="199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199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9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待确认</w:t>
            </w:r>
          </w:p>
        </w:tc>
        <w:tc>
          <w:tcPr>
            <w:tcW w:type="dxa" w:w="126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112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13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</w:tr>
      <w:tr>
        <w:tc>
          <w:tcPr>
            <w:tcW w:type="dxa" w:w="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7</w:t>
            </w:r>
          </w:p>
        </w:tc>
        <w:tc>
          <w:tcPr>
            <w:tcW w:type="dxa" w:w="19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19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9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待确认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11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1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</w:tr>
      <w:tr>
        <w:tc>
          <w:tcPr>
            <w:tcW w:type="dxa" w:w="6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8</w:t>
            </w:r>
          </w:p>
        </w:tc>
        <w:tc>
          <w:tcPr>
            <w:tcW w:type="dxa" w:w="199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199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9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待确认</w:t>
            </w:r>
          </w:p>
        </w:tc>
        <w:tc>
          <w:tcPr>
            <w:tcW w:type="dxa" w:w="126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112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13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</w:tr>
      <w:tr>
        <w:tc>
          <w:tcPr>
            <w:tcW w:type="dxa" w:w="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9</w:t>
            </w:r>
          </w:p>
        </w:tc>
        <w:tc>
          <w:tcPr>
            <w:tcW w:type="dxa" w:w="19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19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9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待确认</w:t>
            </w:r>
          </w:p>
        </w:tc>
        <w:tc>
          <w:tcPr>
            <w:tcW w:type="dxa" w:w="12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112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13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</w:tr>
      <w:tr>
        <w:tc>
          <w:tcPr>
            <w:tcW w:type="dxa" w:w="66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10</w:t>
            </w:r>
          </w:p>
        </w:tc>
        <w:tc>
          <w:tcPr>
            <w:tcW w:type="dxa" w:w="199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199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9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待确认</w:t>
            </w:r>
          </w:p>
        </w:tc>
        <w:tc>
          <w:tcPr>
            <w:tcW w:type="dxa" w:w="1261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1129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13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</w:tr>
    </w:tbl>
    <w:p>
      <w:pPr>
        <w:spacing w:after="40"/>
      </w:pPr>
    </w:p>
    <w:p>
      <w:pPr>
        <w:pStyle w:val="Heading1"/>
      </w:pPr>
      <w:r>
        <w:t>会后任务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08"/>
        <w:gridCol w:w="8352"/>
      </w:tblGrid>
      <w:tr>
        <w:trPr>
          <w:tblHeader w:val="true"/>
        </w:trPr>
        <w:tc>
          <w:tcPr>
            <w:tcW w:type="dxa" w:w="100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顺序</w:t>
            </w:r>
          </w:p>
        </w:tc>
        <w:tc>
          <w:tcPr>
            <w:tcW w:type="dxa" w:w="835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行动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1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24小时内发送会议记录</w:t>
            </w:r>
          </w:p>
        </w:tc>
      </w:tr>
      <w:tr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2</w:t>
            </w:r>
          </w:p>
        </w:tc>
        <w:tc>
          <w:tcPr>
            <w:tcW w:type="dxa" w:w="83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3个工作日内提交首批主体与授权资料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3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7个自然日内提交P0商品、价格、库存、配送和售后资料</w:t>
            </w:r>
          </w:p>
        </w:tc>
      </w:tr>
      <w:tr>
        <w:tc>
          <w:tcPr>
            <w:tcW w:type="dxa" w:w="100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4</w:t>
            </w:r>
          </w:p>
        </w:tc>
        <w:tc>
          <w:tcPr>
            <w:tcW w:type="dxa" w:w="835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当地合规与平台测试按责任表完成</w:t>
            </w:r>
          </w:p>
        </w:tc>
      </w:tr>
      <w:tr>
        <w:tc>
          <w:tcPr>
            <w:tcW w:type="dxa" w:w="100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5</w:t>
            </w:r>
          </w:p>
        </w:tc>
        <w:tc>
          <w:tcPr>
            <w:tcW w:type="dxa" w:w="83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8"/>
              </w:rPr>
              <w:t>P0通过后再安排模拟测试</w:t>
            </w:r>
          </w:p>
        </w:tc>
      </w:tr>
    </w:tbl>
    <w:p>
      <w:pPr>
        <w:spacing w:after="40"/>
      </w:pPr>
    </w:p>
    <w:p>
      <w:pPr>
        <w:pStyle w:val="Heading1"/>
      </w:pPr>
      <w:r>
        <w:t>会议纪要确认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2088"/>
        <w:gridCol w:w="1728"/>
        <w:gridCol w:w="2088"/>
        <w:gridCol w:w="1512"/>
      </w:tblGrid>
      <w:tr>
        <w:trPr>
          <w:tblHeader w:val="true"/>
        </w:trPr>
        <w:tc>
          <w:tcPr>
            <w:tcW w:type="dxa" w:w="1944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确认方</w:t>
            </w:r>
          </w:p>
        </w:tc>
        <w:tc>
          <w:tcPr>
            <w:tcW w:type="dxa" w:w="208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公司名称</w:t>
            </w:r>
          </w:p>
        </w:tc>
        <w:tc>
          <w:tcPr>
            <w:tcW w:type="dxa" w:w="172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负责人</w:t>
            </w:r>
          </w:p>
        </w:tc>
        <w:tc>
          <w:tcPr>
            <w:tcW w:type="dxa" w:w="2088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签字或盖章</w:t>
            </w:r>
          </w:p>
        </w:tc>
        <w:tc>
          <w:tcPr>
            <w:tcW w:type="dxa" w:w="151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日期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线上运营团队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____年__月__日</w:t>
            </w:r>
          </w:p>
        </w:tc>
      </w:tr>
      <w:tr>
        <w:tc>
          <w:tcPr>
            <w:tcW w:type="dxa" w:w="1944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产品与履约团队</w:t>
            </w:r>
          </w:p>
        </w:tc>
        <w:tc>
          <w:tcPr>
            <w:tcW w:type="dxa" w:w="20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172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088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151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____年__月__日</w:t>
            </w:r>
          </w:p>
        </w:tc>
      </w:tr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尼泊尔当地责任主体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172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________________</w:t>
            </w:r>
          </w:p>
        </w:tc>
        <w:tc>
          <w:tcPr>
            <w:tcW w:type="dxa" w:w="15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____年__月__日</w:t>
            </w:r>
          </w:p>
        </w:tc>
      </w:tr>
    </w:tbl>
    <w:p>
      <w:pPr>
        <w:spacing w:after="40"/>
      </w:pPr>
    </w:p>
    <w:p>
      <w:pPr>
        <w:pStyle w:val="Heading1"/>
      </w:pPr>
      <w:r>
        <w:t>结论</w:t>
      </w:r>
    </w:p>
    <w:p>
      <w:pPr>
        <w:spacing w:before="80" w:after="180"/>
        <w:shd w:fill="EAF6EF"/>
      </w:pPr>
      <w:r>
        <w:rPr>
          <w:rFonts w:ascii="Hiragino Sans GB" w:hAnsi="Hiragino Sans GB" w:eastAsia="Hiragino Sans GB"/>
          <w:b/>
          <w:color w:val="1F4D78"/>
          <w:sz w:val="21"/>
        </w:rPr>
        <w:t xml:space="preserve">当前结论  </w:t>
      </w:r>
      <w:r>
        <w:rPr>
          <w:rFonts w:ascii="Hiragino Sans GB" w:hAnsi="Hiragino Sans GB" w:eastAsia="Hiragino Sans GB"/>
          <w:color w:val="1F2937"/>
          <w:sz w:val="21"/>
        </w:rPr>
        <w:t>本文件的结构与执行口径已完成；凡依赖真实主体、商品、许可、价格、库存、平台后台或当地专业意见的事项，仍以待确认状态管理，未通过前不得进入对应动作。</w:t>
      </w:r>
    </w:p>
    <w:p>
      <w:pPr>
        <w:pStyle w:val="Heading1"/>
      </w:pPr>
      <w:r>
        <w:t>待确认项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240"/>
        <w:gridCol w:w="2232"/>
        <w:gridCol w:w="2592"/>
        <w:gridCol w:w="1296"/>
      </w:tblGrid>
      <w:tr>
        <w:trPr>
          <w:tblHeader w:val="true"/>
        </w:trPr>
        <w:tc>
          <w:tcPr>
            <w:tcW w:type="dxa" w:w="3240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事项</w:t>
            </w:r>
          </w:p>
        </w:tc>
        <w:tc>
          <w:tcPr>
            <w:tcW w:type="dxa" w:w="223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责任方</w:t>
            </w:r>
          </w:p>
        </w:tc>
        <w:tc>
          <w:tcPr>
            <w:tcW w:type="dxa" w:w="2592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完成证据</w:t>
            </w:r>
          </w:p>
        </w:tc>
        <w:tc>
          <w:tcPr>
            <w:tcW w:type="dxa" w:w="1296"/>
            <w:shd w:fill="1F4D7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6"/>
              </w:rPr>
              <w:t>当前状态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真实主体、商品与履约资料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产品与履约团队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有效文件及批准版本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待提供</w:t>
            </w:r>
          </w:p>
        </w:tc>
      </w:tr>
      <w:tr>
        <w:tc>
          <w:tcPr>
            <w:tcW w:type="dxa" w:w="3240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尼泊尔当地法律与许可适用性</w:t>
            </w:r>
          </w:p>
        </w:tc>
        <w:tc>
          <w:tcPr>
            <w:tcW w:type="dxa" w:w="223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尼泊尔当地责任主体</w:t>
            </w:r>
          </w:p>
        </w:tc>
        <w:tc>
          <w:tcPr>
            <w:tcW w:type="dxa" w:w="2592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书面意见或官方回执</w:t>
            </w:r>
          </w:p>
        </w:tc>
        <w:tc>
          <w:tcPr>
            <w:tcW w:type="dxa" w:w="1296"/>
            <w:shd w:fill="F8FA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待验证</w:t>
            </w:r>
          </w:p>
        </w:tc>
      </w:tr>
      <w:tr>
        <w:tc>
          <w:tcPr>
            <w:tcW w:type="dxa" w:w="32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平台实际账号与功能能力</w:t>
            </w:r>
          </w:p>
        </w:tc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平台与广告账户主体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后台截图、工单或测试记录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Hiragino Sans GB" w:hAnsi="Hiragino Sans GB" w:eastAsia="Hiragino Sans GB"/>
                <w:color w:val="1F2937"/>
                <w:sz w:val="16"/>
              </w:rPr>
              <w:t>待平台测试</w:t>
            </w:r>
          </w:p>
        </w:tc>
      </w:tr>
    </w:tbl>
    <w:p>
      <w:pPr>
        <w:spacing w:after="40"/>
      </w:pPr>
    </w:p>
    <w:p>
      <w:pPr>
        <w:pStyle w:val="Heading1"/>
      </w:pPr>
      <w:r>
        <w:t>下一步</w:t>
      </w:r>
    </w:p>
    <w:p>
      <w:pPr>
        <w:keepLines/>
        <w:spacing w:after="40"/>
      </w:pPr>
      <w:r>
        <w:rPr>
          <w:rFonts w:ascii="Hiragino Sans GB" w:hAnsi="Hiragino Sans GB" w:eastAsia="Hiragino Sans GB"/>
          <w:color w:val="1F2937"/>
          <w:sz w:val="19"/>
        </w:rPr>
        <w:t>1. 各责任方按P0顺序补齐真实资料，并指定主负责人和备用负责人。</w:t>
        <w:br/>
        <w:t>2. 完成尼泊尔当地书面复核与实际平台后台测试，把通过版本录入事实源。</w:t>
        <w:br/>
        <w:t>3. 执行模拟测试；对应门槛全部通过后再做小范围真实验证和放量决定。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iragino Sans GB" w:hAnsi="Hiragino Sans GB" w:eastAsia="Hiragino Sans GB"/>
        <w:color w:val="667085"/>
        <w:sz w:val="16"/>
      </w:rPr>
      <w:t xml:space="preserve">2026-07-27  | 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iragino Sans GB" w:hAnsi="Hiragino Sans GB" w:eastAsia="Hiragino Sans GB"/>
        <w:color w:val="667085"/>
        <w:sz w:val="16"/>
      </w:rPr>
      <w:t>汾酒＋海鲜尼泊尔项目｜合作执行资料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  <w:jc w:val="left"/>
    </w:pPr>
    <w:rPr>
      <w:rFonts w:ascii="Hiragino Sans GB" w:hAnsi="Hiragino Sans GB" w:eastAsia="Hiragino Sans GB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Hiragino Sans GB" w:hAnsi="Hiragino Sans GB" w:eastAsia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21_供应链首次沟通会议清单</dc:title>
  <dc:subject>汾酒与海鲜尼泊尔线上销售供应链协同与资料交付</dc:subject>
  <dc:creator>项目总控与交付工作组</dc:creator>
  <cp:keywords/>
  <dc:description>合作确认稿；待确认事项不得外推为已完成。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