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资料缺失影响与阻断对照表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明确缺什么、停在哪里、由谁补、补齐后如何恢复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判断方法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资料缺失影响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组合阻断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补齐顺序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判断方法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原则  </w:t>
      </w:r>
      <w:r>
        <w:rPr>
          <w:rFonts w:ascii="Hiragino Sans GB" w:hAnsi="Hiragino Sans GB" w:eastAsia="Hiragino Sans GB"/>
          <w:color w:val="1F2937"/>
          <w:sz w:val="21"/>
        </w:rPr>
        <w:t>每一项缺失都必须有现实后果。不得用“后续补充”掩盖对发布、报价、上架、投流、收款、配送、退款或召回的影响。</w:t>
      </w:r>
    </w:p>
    <w:p>
      <w:pPr>
        <w:pStyle w:val="Heading1"/>
      </w:pPr>
      <w:r>
        <w:t>资料缺失影响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69"/>
        <w:gridCol w:w="3219"/>
        <w:gridCol w:w="2376"/>
        <w:gridCol w:w="996"/>
        <w:gridCol w:w="1839"/>
        <w:gridCol w:w="2376"/>
        <w:gridCol w:w="1381"/>
      </w:tblGrid>
      <w:tr>
        <w:trPr>
          <w:tblHeader w:val="true"/>
        </w:trPr>
        <w:tc>
          <w:tcPr>
            <w:tcW w:type="dxa" w:w="206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缺失资料</w:t>
            </w:r>
          </w:p>
        </w:tc>
        <w:tc>
          <w:tcPr>
            <w:tcW w:type="dxa" w:w="32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直接影响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被阻断动作</w:t>
            </w:r>
          </w:p>
        </w:tc>
        <w:tc>
          <w:tcPr>
            <w:tcW w:type="dxa" w:w="9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等级</w:t>
            </w:r>
          </w:p>
        </w:tc>
        <w:tc>
          <w:tcPr>
            <w:tcW w:type="dxa" w:w="183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补充方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恢复证据</w:t>
            </w:r>
          </w:p>
        </w:tc>
        <w:tc>
          <w:tcPr>
            <w:tcW w:type="dxa" w:w="138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当前状态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品牌授权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不能证明尼泊尔与线上渠道使用权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内容、广告、上架、达人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汾酒品牌授权方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不能合法组织进口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所有商品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尼泊尔进口主体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销售与收款主体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不能收款、开票、退款和承担本地销售责任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所有成交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酒类销售许可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不能销售汾酒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汾酒成交与配送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酒类广告书面意见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不能把内容当推广或广告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汾酒公开传播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尼泊尔合规顾问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TikTok受管制行业授权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普通账号不得默认营销或导流酒类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汾酒TikTok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平台与广告账户主体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TikTok广告能力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不能投流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汾酒广告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平台与广告账户主体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Shop能力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不能站内上架和支付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汾酒与海鲜站内成交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平台与广告账户主体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商品名称与编号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资料、库存、价格和文件无法对应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所有渠道与AI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真实规格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页面和报价可能错误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上架、报价、履约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海鲜科学名称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归类、检测和过敏信息不可靠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进口与上架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酒精度与容量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酒类标签和内容不完整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汾酒内容与销售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中国产品供应方、汾酒品牌授权方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海关编码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税费、许可和报价不可靠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进口与价格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尼泊尔进口主体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不能按正式路径进口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海鲜成交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尼泊尔进口主体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检测或卫生资料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质量与进口要求不能证明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海鲜进口与上架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中国产品供应方、尼泊尔进口主体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标签批准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实物可能不符合当地要求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发货、上架、销售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尼泊尔进口主体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裹冰与净重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容易产生重量争议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海鲜B2B/B2C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储存温度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无法制定冷链和验收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海鲜履约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中国产品供应方、尼泊尔仓储与履约团队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保质期与批次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无法判断可售、临期和召回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库存与售后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中国产品供应方、尼泊尔仓储与履约团队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批准价格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无法正式报价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B2B/B2C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报价有效期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AI可能引用旧价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报价与成交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实时库存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可能超卖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所有成交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尼泊尔仓储与履约团队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补货时间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不能承诺替代或恢复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内容与回复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P1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中国产品供应方、尼泊尔仓储与履约团队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配送范围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无法接单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B2C与小额B2B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尼泊尔仓储与履约团队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配送时效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不能给出送达承诺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订单与售后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尼泊尔仓储与履约团队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退款规则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不能安全成交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所有成交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质量责任方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投诉与召回无人最终负责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所有商品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中国产品供应方、尼泊尔进口主体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内容事实来源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不能发布可靠内容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内容与AI回复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汾酒品牌授权方、中国产品供应方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FAQ批准版本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AI可能误承诺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AI咨询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线上运营团队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  <w:tr>
        <w:tc>
          <w:tcPr>
            <w:tcW w:type="dxa" w:w="20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账号与数据归属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合作终止或人员变更时中断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账户、CRM和复购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P1</w:t>
            </w:r>
          </w:p>
        </w:tc>
        <w:tc>
          <w:tcPr>
            <w:tcW w:type="dxa" w:w="183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线上运营团队、尼泊尔销售与收款主体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资料通过审核并更新准入状态</w:t>
            </w:r>
          </w:p>
        </w:tc>
        <w:tc>
          <w:tcPr>
            <w:tcW w:type="dxa" w:w="138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待提供</w:t>
            </w:r>
          </w:p>
        </w:tc>
      </w:tr>
    </w:tbl>
    <w:p>
      <w:pPr>
        <w:spacing w:after="40"/>
      </w:pPr>
    </w:p>
    <w:p>
      <w:pPr>
        <w:pStyle w:val="Heading1"/>
      </w:pPr>
      <w:r>
        <w:t>组合阻断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6"/>
        <w:gridCol w:w="4715"/>
        <w:gridCol w:w="5155"/>
      </w:tblGrid>
      <w:tr>
        <w:trPr>
          <w:tblHeader w:val="true"/>
        </w:trPr>
        <w:tc>
          <w:tcPr>
            <w:tcW w:type="dxa" w:w="438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47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当前可做</w:t>
            </w:r>
          </w:p>
        </w:tc>
        <w:tc>
          <w:tcPr>
            <w:tcW w:type="dxa" w:w="51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不能做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有素材，无现货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内部样片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写现货、报价、上架、成交</w:t>
            </w:r>
          </w:p>
        </w:tc>
      </w:tr>
      <w:tr>
        <w:tc>
          <w:tcPr>
            <w:tcW w:type="dxa" w:w="43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有商品，无价格</w:t>
            </w:r>
          </w:p>
        </w:tc>
        <w:tc>
          <w:tcPr>
            <w:tcW w:type="dxa" w:w="47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商品资料审核</w:t>
            </w:r>
          </w:p>
        </w:tc>
        <w:tc>
          <w:tcPr>
            <w:tcW w:type="dxa" w:w="5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有库存，无配送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内部需求收集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接单</w:t>
            </w:r>
          </w:p>
        </w:tc>
      </w:tr>
      <w:tr>
        <w:tc>
          <w:tcPr>
            <w:tcW w:type="dxa" w:w="43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有授权，无平台资格</w:t>
            </w:r>
          </w:p>
        </w:tc>
        <w:tc>
          <w:tcPr>
            <w:tcW w:type="dxa" w:w="47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内部内容准备</w:t>
            </w:r>
          </w:p>
        </w:tc>
        <w:tc>
          <w:tcPr>
            <w:tcW w:type="dxa" w:w="5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广告、挂载、直播成交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有许可，无售后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流程准备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正式成交</w:t>
            </w:r>
          </w:p>
        </w:tc>
      </w:tr>
      <w:tr>
        <w:tc>
          <w:tcPr>
            <w:tcW w:type="dxa" w:w="43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系统可用，数据靠临时聊天</w:t>
            </w:r>
          </w:p>
        </w:tc>
        <w:tc>
          <w:tcPr>
            <w:tcW w:type="dxa" w:w="47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内部演示</w:t>
            </w:r>
          </w:p>
        </w:tc>
        <w:tc>
          <w:tcPr>
            <w:tcW w:type="dxa" w:w="5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放量</w:t>
            </w:r>
          </w:p>
        </w:tc>
      </w:tr>
    </w:tbl>
    <w:p>
      <w:pPr>
        <w:spacing w:after="40"/>
      </w:pPr>
    </w:p>
    <w:p>
      <w:pPr>
        <w:pStyle w:val="Heading1"/>
      </w:pPr>
      <w:r>
        <w:t>补齐顺序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合法主体与授权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商品身份与逐项合规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价格、库存、配送、收款和售后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平台账号与内容能力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AI事实源与权限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模拟测试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真实小样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放量决策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23_资料缺失影响与阻断对照表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