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后续Codex5.5执行任务包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把已确认资料转换成可测试、可审计、可回退的AI销售协同系统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执行边界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任务总表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依赖顺序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测试与验收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上线条件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交接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执行边界</w:t>
      </w:r>
    </w:p>
    <w:p>
      <w:pPr>
        <w:spacing w:before="80" w:after="180"/>
        <w:shd w:fill="FDECEC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不得代替现实责任  </w:t>
      </w:r>
      <w:r>
        <w:rPr>
          <w:rFonts w:ascii="Hiragino Sans GB" w:hAnsi="Hiragino Sans GB" w:eastAsia="Hiragino Sans GB"/>
          <w:color w:val="1F2937"/>
          <w:sz w:val="21"/>
        </w:rPr>
        <w:t>Codex只构建事实源、接口、审批、日志、告警、内容检查、CRM和测试。它不得生成虚假许可、授权、商品、价格、库存、案例或平台能力，也不得在未经批准时发送、发布、报价、退款或召回。</w:t>
      </w:r>
    </w:p>
    <w:p>
      <w:pPr>
        <w:pStyle w:val="Heading1"/>
      </w:pPr>
      <w:r>
        <w:t>任务总表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9"/>
        <w:gridCol w:w="1887"/>
        <w:gridCol w:w="2795"/>
        <w:gridCol w:w="1747"/>
        <w:gridCol w:w="2446"/>
        <w:gridCol w:w="1118"/>
        <w:gridCol w:w="1747"/>
        <w:gridCol w:w="1747"/>
      </w:tblGrid>
      <w:tr>
        <w:trPr>
          <w:tblHeader w:val="true"/>
        </w:trPr>
        <w:tc>
          <w:tcPr>
            <w:tcW w:type="dxa" w:w="76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88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任务</w:t>
            </w:r>
          </w:p>
        </w:tc>
        <w:tc>
          <w:tcPr>
            <w:tcW w:type="dxa" w:w="279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目标</w:t>
            </w:r>
          </w:p>
        </w:tc>
        <w:tc>
          <w:tcPr>
            <w:tcW w:type="dxa" w:w="17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依赖</w:t>
            </w:r>
          </w:p>
        </w:tc>
        <w:tc>
          <w:tcPr>
            <w:tcW w:type="dxa" w:w="244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验收</w:t>
            </w:r>
          </w:p>
        </w:tc>
        <w:tc>
          <w:tcPr>
            <w:tcW w:type="dxa" w:w="111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状态</w:t>
            </w:r>
          </w:p>
        </w:tc>
        <w:tc>
          <w:tcPr>
            <w:tcW w:type="dxa" w:w="17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负责人</w:t>
            </w:r>
          </w:p>
        </w:tc>
        <w:tc>
          <w:tcPr>
            <w:tcW w:type="dxa" w:w="174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3"/>
              </w:rPr>
              <w:t>证据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C01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建立供应链事实源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把商品、价格、库存、配送、合规和售后做成唯一版本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P0资料齐全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缺失时阻断，版本可追溯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C02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建立资料提交入口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接收DOCX表格和证据附件，自动编号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责任人名单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每次提交有时间、版本和回执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C03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建立文件与商品匹配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把每份许可、检测和授权关联到具体商品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商品唯一编号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无法匹配的文件不进入可用库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C04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建立到期提醒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许可、授权、检测、报价和素材权到期前提醒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有效期完整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到期自动降级并阻断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C05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建立价格审批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供应价、B2B、B2C和特殊价分层批准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价格规则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未批准或过期不输出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C06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建立库存同步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读取可售、锁定、在途、临期和缺货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仓库数据源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不同步时关闭自动承诺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C07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建立配送判断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按地址、截单、费用和能力给出可送结论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配送规则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超区或异常转人工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C08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建立AI咨询与接管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只读已批准内容，复杂问题送人工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FAQ和接管规则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误承诺为0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C09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建立内容事实检查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脚本、字幕和画面逐项比对事实库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内容事实库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冲突内容不能发布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C10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建立TikTok酒类闸门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区分教育内容、营销、广告、直播、外链和销售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平台与当地结论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未确认能力默认阻断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C11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建立订单状态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付款、库存、出库、配送、签收和退款连通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收款与仓库接口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支付失败不出库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C12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建立批次与召回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从批次定位库存、订单和去向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批次完整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测试召回可在规定时间完成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C13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建立CRM状态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候选、联系、试样、订单、复购分层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合法来源与记录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升级有证据，拒绝后停止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C14</w:t>
            </w:r>
          </w:p>
        </w:tc>
        <w:tc>
          <w:tcPr>
            <w:tcW w:type="dxa" w:w="188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建立权限与审计</w:t>
            </w:r>
          </w:p>
        </w:tc>
        <w:tc>
          <w:tcPr>
            <w:tcW w:type="dxa" w:w="279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研究、编辑、批准、发布、退款和管理分权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账号归属决定</w:t>
            </w:r>
          </w:p>
        </w:tc>
        <w:tc>
          <w:tcPr>
            <w:tcW w:type="dxa" w:w="244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越权被拒且可追溯</w:t>
            </w:r>
          </w:p>
        </w:tc>
        <w:tc>
          <w:tcPr>
            <w:tcW w:type="dxa" w:w="111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  <w:tr>
        <w:tc>
          <w:tcPr>
            <w:tcW w:type="dxa" w:w="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C15</w:t>
            </w:r>
          </w:p>
        </w:tc>
        <w:tc>
          <w:tcPr>
            <w:tcW w:type="dxa" w:w="18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建立上线验收与回退</w:t>
            </w:r>
          </w:p>
        </w:tc>
        <w:tc>
          <w:tcPr>
            <w:tcW w:type="dxa" w:w="279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运行24项模拟测试并保存结果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前述任务</w:t>
            </w:r>
          </w:p>
        </w:tc>
        <w:tc>
          <w:tcPr>
            <w:tcW w:type="dxa" w:w="24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全部P0测试通过后才开放成交</w:t>
            </w:r>
          </w:p>
        </w:tc>
        <w:tc>
          <w:tcPr>
            <w:tcW w:type="dxa" w:w="111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待执行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AI系统与技术执行方</w:t>
            </w:r>
          </w:p>
        </w:tc>
        <w:tc>
          <w:tcPr>
            <w:tcW w:type="dxa" w:w="17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3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依赖顺序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C01-C04：事实源、提交、匹配、到期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C05-C07：价格、库存、配送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C08-C10：AI咨询、内容检查、TikTok酒类闸门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C11-C13：订单、召回、CRM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C14：权限与审计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C15：模拟验收与回退</w:t>
            </w:r>
          </w:p>
        </w:tc>
      </w:tr>
    </w:tbl>
    <w:p>
      <w:pPr>
        <w:spacing w:after="40"/>
      </w:pPr>
    </w:p>
    <w:p>
      <w:pPr>
        <w:pStyle w:val="Heading1"/>
      </w:pPr>
      <w:r>
        <w:t>测试与验收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2"/>
        <w:gridCol w:w="11734"/>
      </w:tblGrid>
      <w:tr>
        <w:trPr>
          <w:tblHeader w:val="true"/>
        </w:trPr>
        <w:tc>
          <w:tcPr>
            <w:tcW w:type="dxa" w:w="252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1173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证明</w:t>
            </w:r>
          </w:p>
        </w:tc>
      </w:tr>
      <w:tr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规则</w:t>
            </w:r>
          </w:p>
        </w:tc>
        <w:tc>
          <w:tcPr>
            <w:tcW w:type="dxa" w:w="1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正常、缺失、过期、冲突均有明确结果</w:t>
            </w:r>
          </w:p>
        </w:tc>
      </w:tr>
      <w:tr>
        <w:tc>
          <w:tcPr>
            <w:tcW w:type="dxa" w:w="2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集成</w:t>
            </w:r>
          </w:p>
        </w:tc>
        <w:tc>
          <w:tcPr>
            <w:tcW w:type="dxa" w:w="1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商品、价格、库存、订单、支付、配送和售后能连通</w:t>
            </w:r>
          </w:p>
        </w:tc>
      </w:tr>
      <w:tr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权限</w:t>
            </w:r>
          </w:p>
        </w:tc>
        <w:tc>
          <w:tcPr>
            <w:tcW w:type="dxa" w:w="1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未授权角色不能改价、发布、退款或修改事实</w:t>
            </w:r>
          </w:p>
        </w:tc>
      </w:tr>
      <w:tr>
        <w:tc>
          <w:tcPr>
            <w:tcW w:type="dxa" w:w="2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审计</w:t>
            </w:r>
          </w:p>
        </w:tc>
        <w:tc>
          <w:tcPr>
            <w:tcW w:type="dxa" w:w="1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来源、版本、草稿、批准、发送和结果可回看</w:t>
            </w:r>
          </w:p>
        </w:tc>
      </w:tr>
      <w:tr>
        <w:tc>
          <w:tcPr>
            <w:tcW w:type="dxa" w:w="25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业务演练</w:t>
            </w:r>
          </w:p>
        </w:tc>
        <w:tc>
          <w:tcPr>
            <w:tcW w:type="dxa" w:w="1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24项模拟测试有证据</w:t>
            </w:r>
          </w:p>
        </w:tc>
      </w:tr>
      <w:tr>
        <w:tc>
          <w:tcPr>
            <w:tcW w:type="dxa" w:w="252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真实小样</w:t>
            </w:r>
          </w:p>
        </w:tc>
        <w:tc>
          <w:tcPr>
            <w:tcW w:type="dxa" w:w="1173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只有P0通过后在少量SKU和一个城市运行</w:t>
            </w:r>
          </w:p>
        </w:tc>
      </w:tr>
    </w:tbl>
    <w:p>
      <w:pPr>
        <w:spacing w:after="40"/>
      </w:pPr>
    </w:p>
    <w:p>
      <w:pPr>
        <w:pStyle w:val="Heading1"/>
      </w:pPr>
      <w:r>
        <w:t>上线条件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9"/>
        <w:gridCol w:w="4167"/>
      </w:tblGrid>
      <w:tr>
        <w:trPr>
          <w:tblHeader w:val="true"/>
        </w:trPr>
        <w:tc>
          <w:tcPr>
            <w:tcW w:type="dxa" w:w="100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41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100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P0主体、授权、商品、合规、价格、库存、配送、收款、售后完整</w:t>
            </w:r>
          </w:p>
        </w:tc>
        <w:tc>
          <w:tcPr>
            <w:tcW w:type="dxa" w:w="4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待提供</w:t>
            </w:r>
          </w:p>
        </w:tc>
      </w:tr>
      <w:tr>
        <w:tc>
          <w:tcPr>
            <w:tcW w:type="dxa" w:w="100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尼泊尔当地书面意见完成</w:t>
            </w:r>
          </w:p>
        </w:tc>
        <w:tc>
          <w:tcPr>
            <w:tcW w:type="dxa" w:w="41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</w:tr>
      <w:tr>
        <w:tc>
          <w:tcPr>
            <w:tcW w:type="dxa" w:w="100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平台实际账号能力完成</w:t>
            </w:r>
          </w:p>
        </w:tc>
        <w:tc>
          <w:tcPr>
            <w:tcW w:type="dxa" w:w="4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待平台测试</w:t>
            </w:r>
          </w:p>
        </w:tc>
      </w:tr>
      <w:tr>
        <w:tc>
          <w:tcPr>
            <w:tcW w:type="dxa" w:w="100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全部P0模拟测试通过</w:t>
            </w:r>
          </w:p>
        </w:tc>
        <w:tc>
          <w:tcPr>
            <w:tcW w:type="dxa" w:w="41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待执行</w:t>
            </w:r>
          </w:p>
        </w:tc>
      </w:tr>
      <w:tr>
        <w:tc>
          <w:tcPr>
            <w:tcW w:type="dxa" w:w="100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真实小样无重大合规、质量、支付或履约问题</w:t>
            </w:r>
          </w:p>
        </w:tc>
        <w:tc>
          <w:tcPr>
            <w:tcW w:type="dxa" w:w="41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</w:tr>
    </w:tbl>
    <w:p>
      <w:pPr>
        <w:spacing w:after="40"/>
      </w:pPr>
    </w:p>
    <w:p>
      <w:pPr>
        <w:pStyle w:val="Heading1"/>
      </w:pPr>
      <w:r>
        <w:t>交接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80"/>
        <w:gridCol w:w="3948"/>
        <w:gridCol w:w="3728"/>
      </w:tblGrid>
      <w:tr>
        <w:trPr>
          <w:tblHeader w:val="true"/>
        </w:trPr>
        <w:tc>
          <w:tcPr>
            <w:tcW w:type="dxa" w:w="6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交接资料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提供方</w:t>
            </w:r>
          </w:p>
        </w:tc>
        <w:tc>
          <w:tcPr>
            <w:tcW w:type="dxa" w:w="3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本套DOCX与已填写版本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项目负责人</w:t>
            </w:r>
          </w:p>
        </w:tc>
        <w:tc>
          <w:tcPr>
            <w:tcW w:type="dxa" w:w="3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已生成/待填写</w:t>
            </w:r>
          </w:p>
        </w:tc>
      </w:tr>
      <w:tr>
        <w:tc>
          <w:tcPr>
            <w:tcW w:type="dxa" w:w="6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证据附件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各责任方</w:t>
            </w:r>
          </w:p>
        </w:tc>
        <w:tc>
          <w:tcPr>
            <w:tcW w:type="dxa" w:w="3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待提供</w:t>
            </w:r>
          </w:p>
        </w:tc>
      </w:tr>
      <w:tr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账号与权限清单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平台和系统负责人</w:t>
            </w:r>
          </w:p>
        </w:tc>
        <w:tc>
          <w:tcPr>
            <w:tcW w:type="dxa" w:w="3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待确认</w:t>
            </w:r>
          </w:p>
        </w:tc>
      </w:tr>
      <w:tr>
        <w:tc>
          <w:tcPr>
            <w:tcW w:type="dxa" w:w="658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测试数据与测试报告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技术执行方</w:t>
            </w:r>
          </w:p>
        </w:tc>
        <w:tc>
          <w:tcPr>
            <w:tcW w:type="dxa" w:w="3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待执行</w:t>
            </w:r>
          </w:p>
        </w:tc>
      </w:tr>
      <w:tr>
        <w:tc>
          <w:tcPr>
            <w:tcW w:type="dxa" w:w="6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上线、回退与应急负责人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各业务负责人</w:t>
            </w:r>
          </w:p>
        </w:tc>
        <w:tc>
          <w:tcPr>
            <w:tcW w:type="dxa" w:w="3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待确认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24_后续Codex5.5执行任务包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