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Hiragino Sans GB" w:hAnsi="Hiragino Sans GB" w:eastAsia="Hiragino Sans GB"/>
          <w:b/>
          <w:color w:val="1F4D78"/>
          <w:sz w:val="46"/>
        </w:rPr>
        <w:t>现有项目资料与复用索引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说明本轮方案依据了哪些工作区资料，以及哪些内容仍不能视为现实结果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35"/>
        <w:gridCol w:w="12721"/>
      </w:tblGrid>
      <w:tr>
        <w:trPr>
          <w:tblHeader w:val="true"/>
        </w:trPr>
        <w:tc>
          <w:tcPr>
            <w:tcW w:type="dxa" w:w="15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127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复核范围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现有资料索引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可复用结论</w:t>
            </w:r>
          </w:p>
        </w:tc>
      </w:tr>
      <w:tr>
        <w:tc>
          <w:tcPr>
            <w:tcW w:type="dxa" w:w="15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127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本轮统一口径</w:t>
            </w:r>
          </w:p>
        </w:tc>
      </w:tr>
      <w:tr>
        <w:tc>
          <w:tcPr>
            <w:tcW w:type="dxa" w:w="1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1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复核限制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复核范围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已完成  </w:t>
      </w:r>
      <w:r>
        <w:rPr>
          <w:rFonts w:ascii="Hiragino Sans GB" w:hAnsi="Hiragino Sans GB" w:eastAsia="Hiragino Sans GB"/>
          <w:color w:val="1F2937"/>
          <w:sz w:val="21"/>
        </w:rPr>
        <w:t>已对工作区内汾酒TikTok方案、海鲜总方案、AI系统、供应链资料和90天计划进行结构与关键结论复核，并把可复用部分纳入本套文件。</w:t>
      </w:r>
    </w:p>
    <w:p>
      <w:pPr>
        <w:pStyle w:val="Heading1"/>
      </w:pPr>
      <w:r>
        <w:t>现有资料索引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50"/>
        <w:gridCol w:w="3049"/>
        <w:gridCol w:w="3873"/>
        <w:gridCol w:w="1236"/>
        <w:gridCol w:w="1648"/>
      </w:tblGrid>
      <w:tr>
        <w:trPr>
          <w:tblHeader w:val="true"/>
        </w:trPr>
        <w:tc>
          <w:tcPr>
            <w:tcW w:type="dxa" w:w="445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相对路径</w:t>
            </w:r>
          </w:p>
        </w:tc>
        <w:tc>
          <w:tcPr>
            <w:tcW w:type="dxa" w:w="304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主要用途</w:t>
            </w:r>
          </w:p>
        </w:tc>
        <w:tc>
          <w:tcPr>
            <w:tcW w:type="dxa" w:w="38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本轮处理</w:t>
            </w:r>
          </w:p>
        </w:tc>
        <w:tc>
          <w:tcPr>
            <w:tcW w:type="dxa" w:w="12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状态</w:t>
            </w:r>
          </w:p>
        </w:tc>
        <w:tc>
          <w:tcPr>
            <w:tcW w:type="dxa" w:w="16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修改时间</w:t>
            </w:r>
          </w:p>
        </w:tc>
      </w:tr>
      <w:tr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交付物/TikTok线上业务方案/汾酒尼泊尔_TikTok线上销售营销执行方案_v1.docx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汾酒TikTok执行边界、合规闸门、城市与阶段方案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可复用；平台与法律结论已按本轮官方来源再核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2026-07-23 23:18</w:t>
            </w:r>
          </w:p>
        </w:tc>
      </w:tr>
      <w:tr>
        <w:tc>
          <w:tcPr>
            <w:tcW w:type="dxa" w:w="4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交付物/TikTok线上业务方案/汾酒尼泊尔_TikTok方案_研究证据与引用清单_v1.docx</w:t>
            </w:r>
          </w:p>
        </w:tc>
        <w:tc>
          <w:tcPr>
            <w:tcW w:type="dxa" w:w="3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旧版来源映射与未确认项</w:t>
            </w:r>
          </w:p>
        </w:tc>
        <w:tc>
          <w:tcPr>
            <w:tcW w:type="dxa" w:w="38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可复用来源结构；动态事实不得直接沿用</w:t>
            </w:r>
          </w:p>
        </w:tc>
        <w:tc>
          <w:tcPr>
            <w:tcW w:type="dxa" w:w="12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2026-07-23 23:18</w:t>
            </w:r>
          </w:p>
        </w:tc>
      </w:tr>
      <w:tr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交付物/TikTok线上业务方案/汾酒尼泊尔_TikTok线上业务执行底表_v1.xlsx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旧版执行底表、状态和责任口径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只作为内部结构参考；本轮改为DOCX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2026-07-23 23:18</w:t>
            </w:r>
          </w:p>
        </w:tc>
      </w:tr>
      <w:tr>
        <w:tc>
          <w:tcPr>
            <w:tcW w:type="dxa" w:w="4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交付物/TikTok线上业务方案/汾酒尼泊尔_TikTok线上营销与供应链合作展示方案_v2.docx</w:t>
            </w:r>
          </w:p>
        </w:tc>
        <w:tc>
          <w:tcPr>
            <w:tcW w:type="dxa" w:w="3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合作展示与素材表达</w:t>
            </w:r>
          </w:p>
        </w:tc>
        <w:tc>
          <w:tcPr>
            <w:tcW w:type="dxa" w:w="38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只复用经授权且可追溯的内容</w:t>
            </w:r>
          </w:p>
        </w:tc>
        <w:tc>
          <w:tcPr>
            <w:tcW w:type="dxa" w:w="12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2026-07-24 04:38</w:t>
            </w:r>
          </w:p>
        </w:tc>
      </w:tr>
      <w:tr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尼泊尔海鲜AI线上销售系统/尼泊尔海鲜AI线上销售系统总方案_完整版.docx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海鲜市场、渠道、AI、CRM与90天总方案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可复用总体判断与阶段边界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21:25</w:t>
            </w:r>
          </w:p>
        </w:tc>
      </w:tr>
      <w:tr>
        <w:tc>
          <w:tcPr>
            <w:tcW w:type="dxa" w:w="4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尼泊尔海鲜AI线上销售系统/11_AI销售系统总体架构.docx</w:t>
            </w:r>
          </w:p>
        </w:tc>
        <w:tc>
          <w:tcPr>
            <w:tcW w:type="dxa" w:w="3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真值中心、人工确认中心、过程记录中心</w:t>
            </w:r>
          </w:p>
        </w:tc>
        <w:tc>
          <w:tcPr>
            <w:tcW w:type="dxa" w:w="38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可直接承接为本轮信息治理骨架</w:t>
            </w:r>
          </w:p>
        </w:tc>
        <w:tc>
          <w:tcPr>
            <w:tcW w:type="dxa" w:w="12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21:25</w:t>
            </w:r>
          </w:p>
        </w:tc>
      </w:tr>
      <w:tr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尼泊尔海鲜AI线上销售系统/14_供应链资料与数据接口清单.docx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商品、价格、库存、配送、许可和售后资料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可直接扩展；真实信息仍待产品与履约团队提供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21:19</w:t>
            </w:r>
          </w:p>
        </w:tc>
      </w:tr>
      <w:tr>
        <w:tc>
          <w:tcPr>
            <w:tcW w:type="dxa" w:w="4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尼泊尔海鲜AI线上销售系统/15_30_60_90天执行计划.docx</w:t>
            </w:r>
          </w:p>
        </w:tc>
        <w:tc>
          <w:tcPr>
            <w:tcW w:type="dxa" w:w="3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受控试点、试样、试单、复购与阶段决策</w:t>
            </w:r>
          </w:p>
        </w:tc>
        <w:tc>
          <w:tcPr>
            <w:tcW w:type="dxa" w:w="38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可复用；不代表真实执行已发生</w:t>
            </w:r>
          </w:p>
        </w:tc>
        <w:tc>
          <w:tcPr>
            <w:tcW w:type="dxa" w:w="12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21:19</w:t>
            </w:r>
          </w:p>
        </w:tc>
      </w:tr>
      <w:tr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尼泊尔海鲜AI线上销售系统/17_来源与引用索引.docx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海鲜公开来源索引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可复用；动态页面行动前复核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21:19</w:t>
            </w:r>
          </w:p>
        </w:tc>
      </w:tr>
      <w:tr>
        <w:tc>
          <w:tcPr>
            <w:tcW w:type="dxa" w:w="445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seafood_project_data.py</w:t>
            </w:r>
          </w:p>
        </w:tc>
        <w:tc>
          <w:tcPr>
            <w:tcW w:type="dxa" w:w="304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海鲜研究、渠道、AI与执行数据</w:t>
            </w:r>
          </w:p>
        </w:tc>
        <w:tc>
          <w:tcPr>
            <w:tcW w:type="dxa" w:w="38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内部生成资料，不直接发给合作方</w:t>
            </w:r>
          </w:p>
        </w:tc>
        <w:tc>
          <w:tcPr>
            <w:tcW w:type="dxa" w:w="12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21:16</w:t>
            </w:r>
          </w:p>
        </w:tc>
      </w:tr>
      <w:tr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build_seafood_docs.py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海鲜DOCX生成与版式逻辑</w:t>
            </w:r>
          </w:p>
        </w:tc>
        <w:tc>
          <w:tcPr>
            <w:tcW w:type="dxa" w:w="38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内部生成工具，不属于业务证据</w:t>
            </w:r>
          </w:p>
        </w:tc>
        <w:tc>
          <w:tcPr>
            <w:tcW w:type="dxa" w:w="1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已找到</w:t>
            </w:r>
          </w:p>
        </w:tc>
        <w:tc>
          <w:tcPr>
            <w:tcW w:type="dxa" w:w="1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2026-07-27 21:27</w:t>
            </w:r>
          </w:p>
        </w:tc>
      </w:tr>
    </w:tbl>
    <w:p>
      <w:pPr>
        <w:spacing w:after="40"/>
      </w:pPr>
    </w:p>
    <w:p>
      <w:pPr>
        <w:pStyle w:val="Heading1"/>
      </w:pPr>
      <w:r>
        <w:t>可复用结论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2"/>
        <w:gridCol w:w="6799"/>
        <w:gridCol w:w="4825"/>
      </w:tblGrid>
      <w:tr>
        <w:trPr>
          <w:tblHeader w:val="true"/>
        </w:trPr>
        <w:tc>
          <w:tcPr>
            <w:tcW w:type="dxa" w:w="26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主题</w:t>
            </w:r>
          </w:p>
        </w:tc>
        <w:tc>
          <w:tcPr>
            <w:tcW w:type="dxa" w:w="679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可复用内容</w:t>
            </w:r>
          </w:p>
        </w:tc>
        <w:tc>
          <w:tcPr>
            <w:tcW w:type="dxa" w:w="48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使用限制</w:t>
            </w:r>
          </w:p>
        </w:tc>
      </w:tr>
      <w:t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责任边界</w:t>
            </w:r>
          </w:p>
        </w:tc>
        <w:tc>
          <w:tcPr>
            <w:tcW w:type="dxa" w:w="6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线上运营与当地进口、销售、收款、履约责任分开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需双方签字后才成为正式合作口径</w:t>
            </w:r>
          </w:p>
        </w:tc>
      </w:tr>
      <w:tr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首城策略</w:t>
            </w:r>
          </w:p>
        </w:tc>
        <w:tc>
          <w:tcPr>
            <w:tcW w:type="dxa" w:w="6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优先在加德满都谷地受控验证</w:t>
            </w:r>
          </w:p>
        </w:tc>
        <w:tc>
          <w:tcPr>
            <w:tcW w:type="dxa" w:w="48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仍需确认真实仓库、配送和预算</w:t>
            </w:r>
          </w:p>
        </w:tc>
      </w:tr>
      <w:t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AI架构</w:t>
            </w:r>
          </w:p>
        </w:tc>
        <w:tc>
          <w:tcPr>
            <w:tcW w:type="dxa" w:w="6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事实源、人工批准、权限、日志与回退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现有文档不代表真实接口已经接通</w:t>
            </w:r>
          </w:p>
        </w:tc>
      </w:tr>
      <w:tr>
        <w:tc>
          <w:tcPr>
            <w:tcW w:type="dxa" w:w="26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海鲜路线</w:t>
            </w:r>
          </w:p>
        </w:tc>
        <w:tc>
          <w:tcPr>
            <w:tcW w:type="dxa" w:w="679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B2B与B2C分开、先少量商品验证</w:t>
            </w:r>
          </w:p>
        </w:tc>
        <w:tc>
          <w:tcPr>
            <w:tcW w:type="dxa" w:w="48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首批商品、价格、库存和许可仍待提供</w:t>
            </w:r>
          </w:p>
        </w:tc>
      </w:tr>
      <w:tr>
        <w:tc>
          <w:tcPr>
            <w:tcW w:type="dxa" w:w="2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汾酒路线</w:t>
            </w:r>
          </w:p>
        </w:tc>
        <w:tc>
          <w:tcPr>
            <w:tcW w:type="dxa" w:w="67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先合规与平台能力，再决定内容、广告或成交</w:t>
            </w:r>
          </w:p>
        </w:tc>
        <w:tc>
          <w:tcPr>
            <w:tcW w:type="dxa" w:w="48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动态平台与当地法律必须行动前复核</w:t>
            </w:r>
          </w:p>
        </w:tc>
      </w:tr>
    </w:tbl>
    <w:p>
      <w:pPr>
        <w:spacing w:after="40"/>
      </w:pPr>
    </w:p>
    <w:p>
      <w:pPr>
        <w:pStyle w:val="Heading1"/>
      </w:pPr>
      <w:r>
        <w:t>本轮统一口径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373"/>
        <w:gridCol w:w="8883"/>
      </w:tblGrid>
      <w:tr>
        <w:trPr>
          <w:tblHeader w:val="true"/>
        </w:trPr>
        <w:tc>
          <w:tcPr>
            <w:tcW w:type="dxa" w:w="53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容易混淆的说法</w:t>
            </w:r>
          </w:p>
        </w:tc>
        <w:tc>
          <w:tcPr>
            <w:tcW w:type="dxa" w:w="888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本轮统一表达</w:t>
            </w:r>
          </w:p>
        </w:tc>
      </w:tr>
      <w:tr>
        <w:tc>
          <w:tcPr>
            <w:tcW w:type="dxa" w:w="5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资料已完成＝项目已执行</w:t>
            </w:r>
          </w:p>
        </w:tc>
        <w:tc>
          <w:tcPr>
            <w:tcW w:type="dxa" w:w="8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资料完成、模拟测试、真实试单、正式验收和商业结果分别记录</w:t>
            </w:r>
          </w:p>
        </w:tc>
      </w:tr>
      <w:tr>
        <w:tc>
          <w:tcPr>
            <w:tcW w:type="dxa" w:w="5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TikTok可发内容＝可以销售酒类</w:t>
            </w:r>
          </w:p>
        </w:tc>
        <w:tc>
          <w:tcPr>
            <w:tcW w:type="dxa" w:w="88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普通内容、行业资格、广告、LIVE、外链、Shop和成交逐层核验</w:t>
            </w:r>
          </w:p>
        </w:tc>
      </w:tr>
      <w:tr>
        <w:tc>
          <w:tcPr>
            <w:tcW w:type="dxa" w:w="5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公开名单＝真实意向</w:t>
            </w:r>
          </w:p>
        </w:tc>
        <w:tc>
          <w:tcPr>
            <w:tcW w:type="dxa" w:w="8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公开研究名单只作为候选，不代表已经联系、回复或成交</w:t>
            </w:r>
          </w:p>
        </w:tc>
      </w:tr>
      <w:tr>
        <w:tc>
          <w:tcPr>
            <w:tcW w:type="dxa" w:w="53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AI方案＝系统已接通</w:t>
            </w:r>
          </w:p>
        </w:tc>
        <w:tc>
          <w:tcPr>
            <w:tcW w:type="dxa" w:w="888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当前为可执行设计；真实数据源、账号与权限接通后再验收</w:t>
            </w:r>
          </w:p>
        </w:tc>
      </w:tr>
      <w:tr>
        <w:tc>
          <w:tcPr>
            <w:tcW w:type="dxa" w:w="53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供应链清单＝真实供应能力</w:t>
            </w:r>
          </w:p>
        </w:tc>
        <w:tc>
          <w:tcPr>
            <w:tcW w:type="dxa" w:w="88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清单用于索取资料；通过审核的真实版本才进入事实源</w:t>
            </w:r>
          </w:p>
        </w:tc>
      </w:tr>
    </w:tbl>
    <w:p>
      <w:pPr>
        <w:spacing w:after="40"/>
      </w:pPr>
    </w:p>
    <w:p>
      <w:pPr>
        <w:pStyle w:val="Heading1"/>
      </w:pPr>
      <w:r>
        <w:t>复核限制</w:t>
      </w:r>
    </w:p>
    <w:p>
      <w:r>
        <w:rPr>
          <w:rFonts w:ascii="Hiragino Sans GB" w:hAnsi="Hiragino Sans GB" w:eastAsia="Hiragino Sans GB"/>
          <w:color w:val="1F2937"/>
          <w:sz w:val="21"/>
        </w:rPr>
        <w:t>本索引证明工作区文件存在及其可复用范围，不证明文件内提及的商品、价格、库存、平台资格、咨询、订单、收入或合作关系已经真实发生。</w:t>
      </w: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1425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35"/>
        <w:gridCol w:w="3400"/>
        <w:gridCol w:w="3948"/>
        <w:gridCol w:w="1973"/>
      </w:tblGrid>
      <w:tr>
        <w:trPr>
          <w:tblHeader w:val="true"/>
        </w:trPr>
        <w:tc>
          <w:tcPr>
            <w:tcW w:type="dxa" w:w="493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394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97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493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3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394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97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49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3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00_现有项目资料与复用索引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