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平台与尼泊尔官方依据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动态规则、法律与许可入口的官方来源索引｜查询日期与适用范围同时记录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检索方法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平台官方依据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尼泊尔官方依据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适用限制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行动前复核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检索方法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来源原则  </w:t>
      </w:r>
      <w:r>
        <w:rPr>
          <w:rFonts w:ascii="Hiragino Sans GB" w:hAnsi="Hiragino Sans GB" w:eastAsia="Hiragino Sans GB"/>
          <w:color w:val="1F2937"/>
          <w:sz w:val="21"/>
        </w:rPr>
        <w:t>优先采用TikTok官方页面、尼泊尔法律委员会、税务局、海关和食品技术与质量控制部门资料。页面结论只支持其明确范围；实际账号能力、逐商品许可与线上销售方式仍需后台测试或当地书面意见。</w:t>
      </w:r>
    </w:p>
    <w:p>
      <w:pPr>
        <w:pStyle w:val="Heading1"/>
      </w:pPr>
      <w:r>
        <w:t>平台官方依据</w:t>
      </w: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T04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Alcohol: Market-specific Requirements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酒类广告市场差异；尼泊尔公开适用状态仍需平台确认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部分成立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Countries and Regions for Self-serve Ad Account Creation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2025-11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自助广告账户开通地区；公开清单未列尼泊尔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Shop 可用市场；公开清单未列尼泊尔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T07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Promoting a Brand, Product, or Service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Support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商业内容披露、品牌合作标记、发布与直播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T08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Accounts and Features: TikTok LIVE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直播年龄、商业披露和责任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尼泊尔官方依据</w:t>
      </w: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Act, 2031 (1974)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酒类销售与分销许可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Rules, 2033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许可展示、销售时段、未满18岁禁售、票据与完税标识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N04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Duty Act, 2058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酒类进口、储存、运输、批发与零售的消费税许可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N05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Licence FAQ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酒类进口、销售、运输、储存前办理许可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N06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当前财年入口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逐商品海关编码与当期税费复核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N07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Lottery Act, 2025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抽奖或彩票式活动的许可复核入口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F02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食品进口申请入口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F03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 2082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食品进口许可与监管入口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F04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EXIM Code Portal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进口主体海关注册与续期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F05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线上经营与电子商务本地复核入口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F06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个人资料收集同意、最少化和保护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适用限制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2"/>
        <w:gridCol w:w="6580"/>
        <w:gridCol w:w="4934"/>
      </w:tblGrid>
      <w:tr>
        <w:trPr>
          <w:tblHeader w:val="true"/>
        </w:trPr>
        <w:tc>
          <w:tcPr>
            <w:tcW w:type="dxa" w:w="274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官方页面可支持</w:t>
            </w:r>
          </w:p>
        </w:tc>
        <w:tc>
          <w:tcPr>
            <w:tcW w:type="dxa" w:w="49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仍需现实确认</w:t>
            </w:r>
          </w:p>
        </w:tc>
      </w:tr>
      <w:tr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TikTok酒类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公开规则中的受管制范围、广告通用要求、商业披露、LIVE和Shop市场清单</w:t>
            </w:r>
          </w:p>
        </w:tc>
        <w:tc>
          <w:tcPr>
            <w:tcW w:type="dxa" w:w="4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尼泊尔实际账号、行业授权、广告开户、外链、LIVE和Shop能力</w:t>
            </w:r>
          </w:p>
        </w:tc>
      </w:tr>
      <w:tr>
        <w:tc>
          <w:tcPr>
            <w:tcW w:type="dxa" w:w="27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尼泊尔酒类</w:t>
            </w:r>
          </w:p>
        </w:tc>
        <w:tc>
          <w:tcPr>
            <w:tcW w:type="dxa" w:w="6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酒类许可、销售时段、年龄、票据、消费税许可和广告限制入口</w:t>
            </w:r>
          </w:p>
        </w:tc>
        <w:tc>
          <w:tcPr>
            <w:tcW w:type="dxa" w:w="4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网络销售、配送到家、具体内容形式和经营地点适用性</w:t>
            </w:r>
          </w:p>
        </w:tc>
      </w:tr>
      <w:tr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海鲜进口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食品进口申请、EXIM Code、标签和海关税则入口</w:t>
            </w:r>
          </w:p>
        </w:tc>
        <w:tc>
          <w:tcPr>
            <w:tcW w:type="dxa" w:w="4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逐商品海关编码、许可、检测、标签语言和批次要求</w:t>
            </w:r>
          </w:p>
        </w:tc>
      </w:tr>
      <w:tr>
        <w:tc>
          <w:tcPr>
            <w:tcW w:type="dxa" w:w="27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电子商务与隐私</w:t>
            </w:r>
          </w:p>
        </w:tc>
        <w:tc>
          <w:tcPr>
            <w:tcW w:type="dxa" w:w="6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本地法律入口</w:t>
            </w:r>
          </w:p>
        </w:tc>
        <w:tc>
          <w:tcPr>
            <w:tcW w:type="dxa" w:w="4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具体经营模式、资料收集目的、保存期限与跨境处理</w:t>
            </w:r>
          </w:p>
        </w:tc>
      </w:tr>
      <w:tr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抽奖活动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当地抽奖许可法律入口</w:t>
            </w:r>
          </w:p>
        </w:tc>
        <w:tc>
          <w:tcPr>
            <w:tcW w:type="dxa" w:w="4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活动结构、奖品、平台和税务适用性</w:t>
            </w:r>
          </w:p>
        </w:tc>
      </w:tr>
    </w:tbl>
    <w:p>
      <w:pPr>
        <w:spacing w:after="40"/>
      </w:pPr>
    </w:p>
    <w:p>
      <w:pPr>
        <w:pStyle w:val="Heading1"/>
      </w:pPr>
      <w:r>
        <w:t>行动前复核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由当地合规顾问逐项形成书面意见，并注明适用主体、商品、渠道、城市和有效日期。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由平台账户主体在真实后台提交或测试，保存回执、工单、截图和限制原因。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由进口主体按首批商品取得逐项预审、许可、海关编码和标签结论。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把新结论更新到事实源，旧版本自动失效；对应测试通过后才开放权限。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ads.tiktok.com/help/article/alcohol-market-specific-requirements" TargetMode="External"/><Relationship Id="rId15" Type="http://schemas.openxmlformats.org/officeDocument/2006/relationships/hyperlink" Target="https://ads.tiktok.com/help/article/available-countries-and-regions-for-ad-account-creation-in-bc" TargetMode="External"/><Relationship Id="rId16" Type="http://schemas.openxmlformats.org/officeDocument/2006/relationships/hyperlink" Target="https://ads.tiktok.com/help/article/tiktok-shopping-and-showcase" TargetMode="External"/><Relationship Id="rId17" Type="http://schemas.openxmlformats.org/officeDocument/2006/relationships/hyperlink" Target="https://support.tiktok.com/en/business-and-creator/creator-and-business-accounts/promoting-a-brand-product-or-service" TargetMode="External"/><Relationship Id="rId18" Type="http://schemas.openxmlformats.org/officeDocument/2006/relationships/hyperlink" Target="https://www.tiktok.com/community-guidelines/en/accounts-features" TargetMode="External"/><Relationship Id="rId19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20" Type="http://schemas.openxmlformats.org/officeDocument/2006/relationships/hyperlink" Target="https://ird.gov.np/public/pdf/325298436.pdf" TargetMode="External"/><Relationship Id="rId21" Type="http://schemas.openxmlformats.org/officeDocument/2006/relationships/hyperlink" Target="https://repository.lawcommission.gov.np/np/category/documents/prevailing-law/rules-and-regulations/%E0%A4%AE%E0%A4%A6%E0%A4%BF%E0%A4%B0%E0%A4%BE-%E0%A4%A8%E0%A4%BF%E0%A4%AF%E0%A4%AE%E0%A4%B9%E0%A4%B0%E0%A5%82-%E0%A5%A8%E0%A5%A6%E0%A5%A9%E0%A5%A9/" TargetMode="External"/><Relationship Id="rId22" Type="http://schemas.openxmlformats.org/officeDocument/2006/relationships/hyperlink" Target="https://ird.gov.np/public/pdf/513089464.pdf" TargetMode="External"/><Relationship Id="rId23" Type="http://schemas.openxmlformats.org/officeDocument/2006/relationships/hyperlink" Target="https://www.ird.gov.np/public/faq?gid=96" TargetMode="External"/><Relationship Id="rId24" Type="http://schemas.openxmlformats.org/officeDocument/2006/relationships/hyperlink" Target="https://customs.gov.np/content/46/integrated-tariff-rate/" TargetMode="External"/><Relationship Id="rId25" Type="http://schemas.openxmlformats.org/officeDocument/2006/relationships/hyperlink" Target="https://lawcommission.gov.np/content/12243/12243-lottery-act-2025/" TargetMode="External"/><Relationship Id="rId26" Type="http://schemas.openxmlformats.org/officeDocument/2006/relationships/hyperlink" Target="https://www.dftqc.gov.np/rules/download-%2813%29-1742819788.pdf" TargetMode="External"/><Relationship Id="rId27" Type="http://schemas.openxmlformats.org/officeDocument/2006/relationships/hyperlink" Target="https://www.dftqc.gov.np/en/notice-details/136/32788974" TargetMode="External"/><Relationship Id="rId28" Type="http://schemas.openxmlformats.org/officeDocument/2006/relationships/hyperlink" Target="https://www.dftqc.gov.np/downloadfiles/DFTQC-Annual-Bulletin-Eng-2082-Book-for-WEB-%281%29-1779272721.pdf" TargetMode="External"/><Relationship Id="rId29" Type="http://schemas.openxmlformats.org/officeDocument/2006/relationships/hyperlink" Target="https://exim.customs.gov.np/" TargetMode="External"/><Relationship Id="rId30" Type="http://schemas.openxmlformats.org/officeDocument/2006/relationships/hyperlink" Target="https://lawcommission.gov.np/content/13517/electricity-trade--e-workers--act--2081/" TargetMode="External"/><Relationship Id="rId31" Type="http://schemas.openxmlformats.org/officeDocument/2006/relationships/hyperlink" Target="https://lawcommission.gov.np/content/12261/12261-the-privacy-act-20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01_平台与尼泊尔官方依据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