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rFonts w:ascii="Hiragino Sans GB" w:hAnsi="Hiragino Sans GB" w:eastAsia="Hiragino Sans GB"/>
          <w:b/>
          <w:color w:val="7A5A00"/>
          <w:sz w:val="24"/>
        </w:rPr>
        <w:t>商业反方审计</w:t>
      </w:r>
    </w:p>
    <w:p>
      <w:pPr>
        <w:spacing w:after="160"/>
        <w:jc w:val="center"/>
      </w:pPr>
      <w:r>
        <w:rPr>
          <w:rFonts w:ascii="Hiragino Sans GB" w:hAnsi="Hiragino Sans GB" w:eastAsia="Hiragino Sans GB"/>
          <w:b/>
          <w:color w:val="0B2545"/>
          <w:sz w:val="56"/>
        </w:rPr>
        <w:t>尼泊尔汾酒与高端海鲜</w:t>
      </w:r>
    </w:p>
    <w:p>
      <w:pPr>
        <w:spacing w:after="520"/>
        <w:jc w:val="center"/>
      </w:pPr>
      <w:r>
        <w:rPr>
          <w:rFonts w:ascii="Hiragino Sans GB" w:hAnsi="Hiragino Sans GB" w:eastAsia="Hiragino Sans GB"/>
          <w:color w:val="1F4D78"/>
          <w:sz w:val="30"/>
        </w:rPr>
        <w:t>AI+线上销售（以 TikTok 为重点假设）的可证伪商业审计</w:t>
      </w:r>
    </w:p>
    <w:p>
      <w:pPr>
        <w:spacing w:before="0" w:after="60" w:line="264" w:lineRule="auto"/>
        <w:ind w:left="144"/>
        <w:shd w:val="clear" w:fill="E8EEF5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0B2545"/>
          <w:sz w:val="20"/>
        </w:rPr>
        <w:t>审计目的：</w:t>
      </w:r>
      <w:r>
        <w:rPr>
          <w:rFonts w:ascii="Hiragino Sans GB" w:hAnsi="Hiragino Sans GB" w:eastAsia="Hiragino Sans GB"/>
          <w:sz w:val="20"/>
        </w:rPr>
        <w:t>不是证明项目能做，而是判断能否形成可持续的需求→获客→成交→履约→复购→用户利润闭环。</w:t>
      </w:r>
    </w:p>
    <w:p>
      <w:pPr>
        <w:spacing w:before="0" w:after="60" w:line="264" w:lineRule="auto"/>
        <w:ind w:left="144"/>
        <w:shd w:val="clear" w:fill="E8EEF5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0B2545"/>
          <w:sz w:val="20"/>
        </w:rPr>
        <w:t>成功口径：</w:t>
      </w:r>
      <w:r>
        <w:rPr>
          <w:rFonts w:ascii="Hiragino Sans GB" w:hAnsi="Hiragino Sans GB" w:eastAsia="Hiragino Sans GB"/>
          <w:sz w:val="20"/>
        </w:rPr>
        <w:t>用户本人稳定获得每月 5–10 万元人民币经营净利润；GMV、播放量、毛利或文件完成均不等同成功。</w:t>
      </w:r>
    </w:p>
    <w:p>
      <w:pPr>
        <w:spacing w:before="0" w:after="60" w:line="264" w:lineRule="auto"/>
        <w:ind w:left="144"/>
        <w:shd w:val="clear" w:fill="E8EEF5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0B2545"/>
          <w:sz w:val="20"/>
        </w:rPr>
        <w:t>审计截止：</w:t>
      </w:r>
      <w:r>
        <w:rPr>
          <w:rFonts w:ascii="Hiragino Sans GB" w:hAnsi="Hiragino Sans GB" w:eastAsia="Hiragino Sans GB"/>
          <w:sz w:val="20"/>
        </w:rPr>
        <w:t>2026-08-29；本地仓库 origin/main 已回读至 b0621bcf715c9a5bb3a559bb9ffc9c6b18eee6e0。</w:t>
      </w:r>
    </w:p>
    <w:p>
      <w:pPr>
        <w:spacing w:before="0" w:after="60" w:line="264" w:lineRule="auto"/>
        <w:ind w:left="144"/>
        <w:shd w:val="clear" w:fill="E8EEF5"/>
        <w:pBdr>
          <w:left w:val="single" w:sz="18" w:space="8" w:color="2E74B5"/>
        </w:pBdr>
      </w:pPr>
      <w:r>
        <w:rPr>
          <w:rFonts w:ascii="Hiragino Sans GB" w:hAnsi="Hiragino Sans GB" w:eastAsia="Hiragino Sans GB"/>
          <w:b/>
          <w:color w:val="0B2545"/>
          <w:sz w:val="20"/>
        </w:rPr>
        <w:t>适用对象：</w:t>
      </w:r>
      <w:r>
        <w:rPr>
          <w:rFonts w:ascii="Hiragino Sans GB" w:hAnsi="Hiragino Sans GB" w:eastAsia="Hiragino Sans GB"/>
          <w:sz w:val="20"/>
        </w:rPr>
        <w:t>用户与供应链方共同决策；不构成尼泊尔法律、税务、牌照或投资意见。</w:t>
      </w:r>
    </w:p>
    <w:p/>
    <w:p>
      <w:pPr>
        <w:spacing w:before="80" w:after="120" w:line="264" w:lineRule="auto"/>
        <w:ind w:left="173" w:right="115"/>
        <w:shd w:val="clear" w:fill="FDECEC"/>
        <w:pBdr>
          <w:left w:val="single" w:sz="18" w:space="8" w:color="9B1C1C"/>
        </w:pBdr>
      </w:pPr>
      <w:r>
        <w:rPr>
          <w:rFonts w:ascii="Hiragino Sans GB" w:hAnsi="Hiragino Sans GB" w:eastAsia="Hiragino Sans GB"/>
          <w:b/>
          <w:color w:val="9B1C1C"/>
        </w:rPr>
        <w:t xml:space="preserve">一句话结论  </w:t>
      </w:r>
      <w:r>
        <w:rPr>
          <w:rFonts w:ascii="Hiragino Sans GB" w:hAnsi="Hiragino Sans GB" w:eastAsia="Hiragino Sans GB"/>
        </w:rPr>
        <w:t>两条业务线当前均不具备‘可直接上线并以 TikTok 获客’的商业证据。汾酒存在更强的公开酒类广告限制；海鲜有真实货盘输入但缺成本、冷链、客户与用户分润证据。建议将两者都放在‘小规模、可归因验证’而非规模化销售阶段。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一、先给结论：目前不是‘上 TikTok 卖货’阶段</w:t>
      </w:r>
    </w:p>
    <w:p>
      <w:pPr>
        <w:spacing w:before="80" w:after="120" w:line="264" w:lineRule="auto"/>
        <w:ind w:left="173" w:right="115"/>
        <w:shd w:val="clear" w:fill="FDECEC"/>
        <w:pBdr>
          <w:left w:val="single" w:sz="18" w:space="8" w:color="9B1C1C"/>
        </w:pBdr>
      </w:pPr>
      <w:r>
        <w:rPr>
          <w:rFonts w:ascii="Hiragino Sans GB" w:hAnsi="Hiragino Sans GB" w:eastAsia="Hiragino Sans GB"/>
          <w:b/>
          <w:color w:val="9B1C1C"/>
        </w:rPr>
        <w:t xml:space="preserve">总裁决  </w:t>
      </w:r>
      <w:r>
        <w:rPr>
          <w:rFonts w:ascii="Hiragino Sans GB" w:hAnsi="Hiragino Sans GB" w:eastAsia="Hiragino Sans GB"/>
        </w:rPr>
        <w:t>汾酒：小规模验证（但公开 TikTok 酒类推广、广告和店内交易均暂缓）；海鲜：小规模验证（先验证供应链可承接、B2B/B2C 单位经济与用户收益分配）。两条线都不应以现有资料承诺月净利 5–10 万元人民币。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本次审计采用反方优先：先找出让项目失败的事实，再判断是否还值得用最小、可逆、可归因的动作继续验证。所有‘卖方市场’、‘线上空白’、‘TikTok 热度带来低 CAC’和‘3–4 倍售价’均按待验证假设处理。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2850"/>
        <w:gridCol w:w="26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商业判断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今天可以做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今天不能做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汾酒 20/30</w:t>
            </w:r>
          </w:p>
        </w:tc>
        <w:tc>
          <w:tcPr>
            <w:tcW w:type="dxa" w:w="2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小规模验证；不支持公开线上规模售卖。</w:t>
            </w:r>
          </w:p>
        </w:tc>
        <w:tc>
          <w:tcPr>
            <w:tcW w:type="dxa" w:w="28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锁定 1 个实际 SKU、取得书面许可/授权、核验合法非广告性测试路径与人工询盘承接。</w:t>
            </w:r>
          </w:p>
        </w:tc>
        <w:tc>
          <w:tcPr>
            <w:tcW w:type="dxa" w:w="26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将 TikTok 视为默认销售主线、付费投放、TikTok Shop、公开价格/配送承诺、收款或订单。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高端海鲜</w:t>
            </w:r>
          </w:p>
        </w:tc>
        <w:tc>
          <w:tcPr>
            <w:tcW w:type="dxa" w:w="2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小规模验证；不支持以‘3–4 倍售价’推导用户净利。</w:t>
            </w:r>
          </w:p>
        </w:tc>
        <w:tc>
          <w:tcPr>
            <w:tcW w:type="dxa" w:w="28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确认一个产品包、落地成本、冷链 SLA、可接询盘主体、用户佣金/分润与可归因反馈。</w:t>
            </w:r>
          </w:p>
        </w:tc>
        <w:tc>
          <w:tcPr>
            <w:tcW w:type="dxa" w:w="26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大规模 B2C 投放、用货盘数量当库存、把供应链潜在超市合作当作用户线上利润证据。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TikTok</w:t>
            </w:r>
          </w:p>
        </w:tc>
        <w:tc>
          <w:tcPr>
            <w:tcW w:type="dxa" w:w="2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机会存在但销售主张不成立。</w:t>
            </w:r>
          </w:p>
        </w:tc>
        <w:tc>
          <w:tcPr>
            <w:tcW w:type="dxa" w:w="28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核验账号地区/归属、观察受众与内容生态、确认非酒类海鲜内容路径与站外承接。</w:t>
            </w:r>
          </w:p>
        </w:tc>
        <w:tc>
          <w:tcPr>
            <w:tcW w:type="dxa" w:w="26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假定 TikTok Shop 可在尼泊尔使用；假定浏览量等于低 CAC 或订单。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AI+</w:t>
            </w:r>
          </w:p>
        </w:tc>
        <w:tc>
          <w:tcPr>
            <w:tcW w:type="dxa" w:w="2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内部效率工具，尚无获客经济证据。</w:t>
            </w:r>
          </w:p>
        </w:tc>
        <w:tc>
          <w:tcPr>
            <w:tcW w:type="dxa" w:w="28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以人工基线测试内容制作、资料整理、线索研究和跟进提醒的节省。</w:t>
            </w:r>
          </w:p>
        </w:tc>
        <w:tc>
          <w:tcPr>
            <w:tcW w:type="dxa" w:w="26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把视频生成、爬虫、自动回复、CRM 合同或测试通过当作销售能力。</w:t>
            </w:r>
          </w:p>
        </w:tc>
      </w:tr>
    </w:tbl>
    <w:p>
      <w:pPr>
        <w:spacing w:after="0"/>
      </w:pPr>
    </w:p>
    <w:p>
      <w:pPr>
        <w:spacing w:before="80" w:after="100" w:line="240" w:lineRule="auto"/>
      </w:pPr>
      <w:r>
        <w:rPr>
          <w:rFonts w:ascii="Hiragino Sans GB" w:hAnsi="Hiragino Sans GB" w:eastAsia="Hiragino Sans GB"/>
          <w:b/>
          <w:color w:val="5C6773"/>
          <w:sz w:val="17"/>
        </w:rPr>
        <w:t>来源：</w:t>
      </w:r>
      <w:r>
        <w:rPr>
          <w:rFonts w:ascii="Hiragino Sans GB" w:hAnsi="Hiragino Sans GB" w:eastAsia="Hiragino Sans GB"/>
          <w:color w:val="5C6773"/>
          <w:sz w:val="17"/>
        </w:rPr>
        <w:t>项目 origin/main：PROJECT_ENTRY.md、BUSINESS_STATUS.md、CURRENT_STATUS.md、FENJIU_EXECUTION_PLAYBOOK.md、SEAFOOD_ONLINE_ACQUISITION_PLAYBOOK.md（均于 2026-08-29 读取并与远端 main 对比）。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二、审计方法、证据分级与边界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本报告只将当前书面资料、可回读仓库事实和可访问公开来源视为证据。用户/供应链口述可以说明待验证方向，但不能取代当前 SKU、价格、库存、许可、冷链、成交或用户分润证据。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2780"/>
        <w:gridCol w:w="4960"/>
      </w:tblGrid>
      <w:tr>
        <w:trPr>
          <w:tblHeader w:val="true"/>
          <w:cantSplit/>
        </w:trP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标签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本报告的使用规则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已确认事实</w:t>
            </w:r>
          </w:p>
        </w:tc>
        <w:tc>
          <w:tcPr>
            <w:tcW w:type="dxa" w:w="278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本轮本地仓库或原始文件可回读。</w:t>
            </w:r>
          </w:p>
        </w:tc>
        <w:tc>
          <w:tcPr>
            <w:tcW w:type="dxa" w:w="4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可用于判断项目现状，但不自动证明市场需求。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外部公开证据</w:t>
            </w:r>
          </w:p>
        </w:tc>
        <w:tc>
          <w:tcPr>
            <w:tcW w:type="dxa" w:w="278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官方、平台、零售、菜单、公开数据或新闻可访问。</w:t>
            </w:r>
          </w:p>
        </w:tc>
        <w:tc>
          <w:tcPr>
            <w:tcW w:type="dxa" w:w="4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只支持来源所能证明的范围；零售上架不等于销量。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用户/供应链口述</w:t>
            </w:r>
          </w:p>
        </w:tc>
        <w:tc>
          <w:tcPr>
            <w:tcW w:type="dxa" w:w="278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本轮提到但无书面材料或仓库证据。</w:t>
            </w:r>
          </w:p>
        </w:tc>
        <w:tc>
          <w:tcPr>
            <w:tcW w:type="dxa" w:w="4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保留为假设，列入解锁清单。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推测/模型</w:t>
            </w:r>
          </w:p>
        </w:tc>
        <w:tc>
          <w:tcPr>
            <w:tcW w:type="dxa" w:w="278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由变量、场景或逻辑推导。</w:t>
            </w:r>
          </w:p>
        </w:tc>
        <w:tc>
          <w:tcPr>
            <w:tcW w:type="dxa" w:w="4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明确参数，不能伪装成真实市场数字。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缺失证据</w:t>
            </w:r>
          </w:p>
        </w:tc>
        <w:tc>
          <w:tcPr>
            <w:tcW w:type="dxa" w:w="278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当前无法取得或无法交叉验证。</w:t>
            </w:r>
          </w:p>
        </w:tc>
        <w:tc>
          <w:tcPr>
            <w:tcW w:type="dxa" w:w="4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直接降低结论与成功概率，不用漂亮计划补齐。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冲突裁决：本轮用户要求最严格审计（P0）优先；本地 origin/main 当前事实（P1）用于项目状态；历史研究与公开网页（P2）用于检验但不覆盖项目缺口。用户看好 TikTok 是机会假设，不是对法律、平台或经济结果的例外。</w:t>
      </w:r>
    </w:p>
    <w:p>
      <w:pPr>
        <w:spacing w:before="80" w:after="120" w:line="264" w:lineRule="auto"/>
        <w:ind w:left="173" w:right="115"/>
        <w:shd w:val="clear" w:fill="FFF7E8"/>
        <w:pBdr>
          <w:left w:val="single" w:sz="18" w:space="8" w:color="7A5A00"/>
        </w:pBdr>
      </w:pPr>
      <w:r>
        <w:rPr>
          <w:rFonts w:ascii="Hiragino Sans GB" w:hAnsi="Hiragino Sans GB" w:eastAsia="Hiragino Sans GB"/>
          <w:b/>
          <w:color w:val="7A5A00"/>
        </w:rPr>
        <w:t xml:space="preserve">审计限制  </w:t>
      </w:r>
      <w:r>
        <w:rPr>
          <w:rFonts w:ascii="Hiragino Sans GB" w:hAnsi="Hiragino Sans GB" w:eastAsia="Hiragino Sans GB"/>
        </w:rPr>
        <w:t>没有获得供应链的价格、已落地成本、库存、许可、账号主体、配送/退货 SLA、实际订单或用户分润协议；因此本报告给出可检验模型与决策阈值，不输出伪精确 ROI。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三、当前项目事实：规划已很完整，商业闭环仍未启动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3100"/>
        <w:gridCol w:w="20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已确认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未确认/阻断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审计意义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仓库与规划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origin/main 已回读至 b0621bc；Sales-First、FJ-1/SF-U1 手册、阶段门和 AI 边界均已存在。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文档不是销售、账号、真实客户或履约。</w:t>
            </w:r>
          </w:p>
        </w:tc>
        <w:tc>
          <w:tcPr>
            <w:tcW w:type="dxa" w:w="20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工程与规划成熟度不得被计入商业成功率。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汾酒 Offer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产品标识为 fenjiu_20_year 与 fenjiu_30_year；公开资料显示存在多度数/容量变体。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尼泊尔实际 SKU、标签、价格、库存、授权、许可、订单与履约均 UNKNOWN/BLOCKED。</w:t>
            </w:r>
          </w:p>
        </w:tc>
        <w:tc>
          <w:tcPr>
            <w:tcW w:type="dxa" w:w="20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不能用‘20 年/30 年’直接做价格、视频、竞争或利润模型。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海鲜货盘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原始 PDF 有 20 个候选行、554 件、2,895 kg、11.2323145 m³ 的表内记录。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不是尼泊尔可售库存、食品/进口许可、冷链、到货、成本、价格或履约证明。</w:t>
            </w:r>
          </w:p>
        </w:tc>
        <w:tc>
          <w:tcPr>
            <w:tcW w:type="dxa" w:w="20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可用于候选产品筛选；不能当销售供给或资产。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外部动作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内部内容/资料/阶段设计可继续。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发布、广告、报价、收款、下单、发货、真实外联均被业务闸门阻断。</w:t>
            </w:r>
          </w:p>
        </w:tc>
        <w:tc>
          <w:tcPr>
            <w:tcW w:type="dxa" w:w="20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应先把资料变成一份可审计 Offer，而非扩系统。</w:t>
            </w:r>
          </w:p>
        </w:tc>
      </w:tr>
    </w:tbl>
    <w:p>
      <w:pPr>
        <w:spacing w:after="0"/>
      </w:pPr>
    </w:p>
    <w:p>
      <w:pPr>
        <w:spacing w:before="80" w:after="100" w:line="240" w:lineRule="auto"/>
      </w:pPr>
      <w:r>
        <w:rPr>
          <w:rFonts w:ascii="Hiragino Sans GB" w:hAnsi="Hiragino Sans GB" w:eastAsia="Hiragino Sans GB"/>
          <w:b/>
          <w:color w:val="5C6773"/>
          <w:sz w:val="17"/>
        </w:rPr>
        <w:t>来源：</w:t>
      </w:r>
      <w:r>
        <w:rPr>
          <w:rFonts w:ascii="Hiragino Sans GB" w:hAnsi="Hiragino Sans GB" w:eastAsia="Hiragino Sans GB"/>
          <w:color w:val="5C6773"/>
          <w:sz w:val="17"/>
        </w:rPr>
        <w:t>本地事实：docs/project/BUSINESS_STATUS.md、CURRENT_STATUS.md、docs/strategy/fenjiu/FENJIU_EXECUTION_PLAYBOOK.md、docs/strategy/seafood/SEAFOOD_ONLINE_ACQUISITION_PLAYBOOK.md；海鲜原始货盘 PDF 创建/修改日为 2026-06-16。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四、核心假设审计表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2950"/>
        <w:gridCol w:w="191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假设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支持证据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反方/缺失证据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结论与置信度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尼泊尔汾酒是卖方市场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未见项目当前真实客户、渠道库存或补货数据。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公开线上酒类零售/配送已存在；无汾酒销量、缺货、等待名单或价格权证据。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不支持；低置信度。卖家少也可能是品类小。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汾酒 20/30 有稳定真实需求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中国/海外公开页面可支持同名系列及多个版本存在。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无尼泊尔 SKU、价格、零售陈列、餐饮菜单、销量或复购证据。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未知；低置信度。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传统线下为主且线上竞争弱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本次在 Cheers 首页未发现 Fenjiu 文本匹配。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Cheers、Drinks Nepal 等公开在线酒类零售和配送/取货入口已存在；单站无 Fenjiu 不能推全国空白。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部分成立（仅‘汾酒可见度待证’）；低置信度。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TikTok 能低 CAC 抢份额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TikTok 在尼泊尔可访问/注册；全国互联网与社媒基础较大。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无尼泊尔 TikTok 对酒类的可用受众、广告许可、转化、CAC 或订单数据；酒类广告限制很强。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不支持为既成事实；低置信度。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高端海鲜是卖方市场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公开冷链/零售/餐饮页面与 2022 年海鲜进口数据说明品类真实存在。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2022 年 HS03 总进口仅约 636 万美元，甲壳类仅约 29.9 万美元；无高端细分周转、缺货、采购价格或复购。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未知；中低置信度。更像城市小盘市场。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海鲜可持续卖进货价 3–4 倍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消费者零售价可高于上游价是正常现象。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缺 landed cost、税费、冷链、损耗、配送、退货、平台/人员与供应链分成；售价不等于净利。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不支持为净利结论；低置信度。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AI+ 可显著降 CAC/提转化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项目已有安全、归因、人工接管与内容质量框架。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没有人工基线、真实内容→询盘→订单或 AI 对照组。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未知；低置信度。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现有规划足以支撑利润</w:t>
            </w:r>
          </w:p>
        </w:tc>
        <w:tc>
          <w:tcPr>
            <w:tcW w:type="dxa" w:w="2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规划已写出 Offer、询盘、人工销售、交接与反馈应有的结构。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核心商业输入和外部能力仍缺；并且 TikTok 酒类路径与公开法规存在直接风险。</w:t>
            </w:r>
          </w:p>
        </w:tc>
        <w:tc>
          <w:tcPr>
            <w:tcW w:type="dxa" w:w="19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部分成立（方法层）；不支持（商业结果层）。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五、TikTok：强机会假设，但不是可用的销售通道</w:t>
      </w:r>
    </w:p>
    <w:p>
      <w:pPr>
        <w:spacing w:before="80" w:after="120" w:line="264" w:lineRule="auto"/>
        <w:ind w:left="173" w:right="115"/>
        <w:shd w:val="clear" w:fill="FDECEC"/>
        <w:pBdr>
          <w:left w:val="single" w:sz="18" w:space="8" w:color="9B1C1C"/>
        </w:pBdr>
      </w:pPr>
      <w:r>
        <w:rPr>
          <w:rFonts w:ascii="Hiragino Sans GB" w:hAnsi="Hiragino Sans GB" w:eastAsia="Hiragino Sans GB"/>
          <w:b/>
          <w:color w:val="9B1C1C"/>
        </w:rPr>
        <w:t xml:space="preserve">最重要发现  </w:t>
      </w:r>
      <w:r>
        <w:rPr>
          <w:rFonts w:ascii="Hiragino Sans GB" w:hAnsi="Hiragino Sans GB" w:eastAsia="Hiragino Sans GB"/>
        </w:rPr>
        <w:t>TikTok Shop 官方支持市场列表不含尼泊尔。即使普通 TikTok 使用活跃，也不能把站内商品页、下单、支付或直播带货当作尼泊尔当前能力。两条线都必须另建合规的站外承接与人工成交链路。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3200"/>
        <w:gridCol w:w="16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审计问题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公开事实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商业含义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数字基础</w:t>
            </w:r>
          </w:p>
        </w:tc>
        <w:tc>
          <w:tcPr>
            <w:tcW w:type="dxa" w:w="2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DataReportal：截至 2025 年 10 月，尼泊尔互联网用户 1,660 万；社媒用户身份 1,480 万；但未发布独立 TikTok 尼泊尔受众数字。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社媒大盘可支持‘值得研究’，不能证明 TikTok 的规模、年龄结构、购买力或适配度。</w:t>
            </w:r>
          </w:p>
        </w:tc>
        <w:tc>
          <w:tcPr>
            <w:tcW w:type="dxa" w:w="16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部分成立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平台可访问</w:t>
            </w:r>
          </w:p>
        </w:tc>
        <w:tc>
          <w:tcPr>
            <w:tcW w:type="dxa" w:w="2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AP 报道 2025 年 TikTok 属于已在尼泊尔登记而可继续运营的平台之一。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可访问不等于广告资格、内容合规、商店能力或转化能力。</w:t>
            </w:r>
          </w:p>
        </w:tc>
        <w:tc>
          <w:tcPr>
            <w:tcW w:type="dxa" w:w="16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部分成立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TikTok Shop</w:t>
            </w:r>
          </w:p>
        </w:tc>
        <w:tc>
          <w:tcPr>
            <w:tcW w:type="dxa" w:w="2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TikTok 官方 2026-06 支持市场清单不含 Nepal。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没有站内‘看视频→购物车→支付’闭环。必须用外部合法入口与人工归因。</w:t>
            </w:r>
          </w:p>
        </w:tc>
        <w:tc>
          <w:tcPr>
            <w:tcW w:type="dxa" w:w="16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已确认不可用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酒类广告</w:t>
            </w:r>
          </w:p>
        </w:tc>
        <w:tc>
          <w:tcPr>
            <w:tcW w:type="dxa" w:w="2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尼泊尔广告委员会公开要求包括数字媒体和社交网络在内不得发布/播出酒类广告；TikTok 自身政策也要求许可、当地合法性、年龄与责任饮酒要求。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汾酒的公开商业内容、达人、直播、付费推广和促销默认应视为 BLOCKED，直至当地专业书面意见和平台书面确认。</w:t>
            </w:r>
          </w:p>
        </w:tc>
        <w:tc>
          <w:tcPr>
            <w:tcW w:type="dxa" w:w="16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高风险阻断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海鲜内容</w:t>
            </w:r>
          </w:p>
        </w:tc>
        <w:tc>
          <w:tcPr>
            <w:tcW w:type="dxa" w:w="2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食品内容本身不等同酒类限制；但 Shop 不可用，账号地区、广告市场、产品事实、冷链、承接和平台规则仍未验证。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可作为以后低成本内容/发现测试候选，但不能跳过 Offer 与站外成交验证。</w:t>
            </w:r>
          </w:p>
        </w:tc>
        <w:tc>
          <w:tcPr>
            <w:tcW w:type="dxa" w:w="16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待验证</w:t>
            </w:r>
          </w:p>
        </w:tc>
      </w:tr>
    </w:tbl>
    <w:p>
      <w:pPr>
        <w:spacing w:after="0"/>
      </w:pPr>
    </w:p>
    <w:p>
      <w:pPr>
        <w:spacing w:before="80" w:after="100" w:line="240" w:lineRule="auto"/>
      </w:pPr>
      <w:r>
        <w:rPr>
          <w:rFonts w:ascii="Hiragino Sans GB" w:hAnsi="Hiragino Sans GB" w:eastAsia="Hiragino Sans GB"/>
          <w:b/>
          <w:color w:val="5C6773"/>
          <w:sz w:val="17"/>
        </w:rPr>
        <w:t>来源：</w:t>
      </w:r>
      <w:r>
        <w:rPr>
          <w:rFonts w:ascii="Hiragino Sans GB" w:hAnsi="Hiragino Sans GB" w:eastAsia="Hiragino Sans GB"/>
          <w:color w:val="5C6773"/>
          <w:sz w:val="17"/>
        </w:rPr>
        <w:t>[E01] DataReportal Digital 2026: Nepal（数据截至 2025-10）；[E02] TikTok Shop supported markets（更新 2026-06）；[E03] Nepal Advertisement Board 公告；[E04] TikTok Alcohol Policy（更新 2025-09）；[E05] AP 2025 平台登记报道。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渠道判断：汾酒不应以 TikTok 为销售主线；最多只能在书面法律/平台许可后，评估合规的非广告性品牌/信息呈现和到获准人工入口的路径。海鲜不应把 TikTok 当电商平台，而应先将其与搜索、官网/目录、明确 CTA、可追踪表单或人工接待做小样本对照。Facebook、Instagram、WhatsApp、Google 等均只是辅助候选；不得自动升级为主渠道。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六、汾酒线审计：产品存在，不等于尼泊尔需求存在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已确认：本地执行规划把范围严格限制为 fenjiu_20_year 与 fenjiu_30_year，并明确两者只是产品标识、不是已确认的尼泊尔 SKU。公开官方/商业页面可支持青花 20/30 存在多种度数、容量、包装；但不能把中国或海外页面的价格、库存和可售性移植到尼泊尔。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大类市场不是零：WITS 的 2022 年尼泊尔 HS2208（烈酒、利口酒及其他含酒精饮料）进口约为 1,571 万美元、约 100.2 万升。但该口径包含各类烈酒，不能推导汾酒份额、价格接受度、线上需求或项目可获取份额。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40"/>
        <w:gridCol w:w="3150"/>
        <w:gridCol w:w="207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验证层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可得到的正向线索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关键反方证据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审计结论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需求</w:t>
            </w:r>
          </w:p>
        </w:tc>
        <w:tc>
          <w:tcPr>
            <w:tcW w:type="dxa" w:w="254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旅游、餐饮、进口烈酒零售和中国相关商业节点可提供可测试场景。</w:t>
            </w:r>
          </w:p>
        </w:tc>
        <w:tc>
          <w:tcPr>
            <w:tcW w:type="dxa" w:w="31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没有本地汾酒销量、品鉴反馈、复购、菜单、搜量、企业采购或消费者支付意愿。</w:t>
            </w:r>
          </w:p>
        </w:tc>
        <w:tc>
          <w:tcPr>
            <w:tcW w:type="dxa" w:w="207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需求假设未通过。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竞品</w:t>
            </w:r>
          </w:p>
        </w:tc>
        <w:tc>
          <w:tcPr>
            <w:tcW w:type="dxa" w:w="254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公开网站显示威士忌、伏特加、朗姆、清酒等丰富品类；可观察到单麦等高价进口酒陈列。</w:t>
            </w:r>
          </w:p>
        </w:tc>
        <w:tc>
          <w:tcPr>
            <w:tcW w:type="dxa" w:w="31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这证明消费者已有替代选择与线上竞争，不证明愿意替换为白酒。</w:t>
            </w:r>
          </w:p>
        </w:tc>
        <w:tc>
          <w:tcPr>
            <w:tcW w:type="dxa" w:w="207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替代竞争强，定位需经测试。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线上结构</w:t>
            </w:r>
          </w:p>
        </w:tc>
        <w:tc>
          <w:tcPr>
            <w:tcW w:type="dxa" w:w="254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Cheers 等本地线上零售可见下单、年龄门槛、配送/取货和支付方式。</w:t>
            </w:r>
          </w:p>
        </w:tc>
        <w:tc>
          <w:tcPr>
            <w:tcW w:type="dxa" w:w="31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Drinks Nepal 同页出现‘配送当前不可用’与配送宣称，提示履约能力/信息时效不能按网页承诺。</w:t>
            </w:r>
          </w:p>
        </w:tc>
        <w:tc>
          <w:tcPr>
            <w:tcW w:type="dxa" w:w="207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线上酒类交易存在，但不是低摩擦证据。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合规/授权</w:t>
            </w:r>
          </w:p>
        </w:tc>
        <w:tc>
          <w:tcPr>
            <w:tcW w:type="dxa" w:w="254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项目已把许可、品牌授权、年龄/地域、账号、支付和履约列为闸门。</w:t>
            </w:r>
          </w:p>
        </w:tc>
        <w:tc>
          <w:tcPr>
            <w:tcW w:type="dxa" w:w="31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无本项目主体、牌照、线上销售权、区域代理/价格保护或 TikTok 酒类资格证据。</w:t>
            </w:r>
          </w:p>
        </w:tc>
        <w:tc>
          <w:tcPr>
            <w:tcW w:type="dxa" w:w="207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决定性阻断。</w:t>
            </w:r>
          </w:p>
        </w:tc>
      </w:tr>
    </w:tbl>
    <w:p>
      <w:pPr>
        <w:spacing w:after="0"/>
      </w:pPr>
    </w:p>
    <w:p>
      <w:pPr>
        <w:spacing w:before="80" w:after="120" w:line="264" w:lineRule="auto"/>
        <w:ind w:left="173" w:right="115"/>
        <w:shd w:val="clear" w:fill="FFF7E8"/>
        <w:pBdr>
          <w:left w:val="single" w:sz="18" w:space="8" w:color="7A5A00"/>
        </w:pBdr>
      </w:pPr>
      <w:r>
        <w:rPr>
          <w:rFonts w:ascii="Hiragino Sans GB" w:hAnsi="Hiragino Sans GB" w:eastAsia="Hiragino Sans GB"/>
          <w:b/>
          <w:color w:val="7A5A00"/>
        </w:rPr>
        <w:t xml:space="preserve">汾酒下一步裁决  </w:t>
      </w:r>
      <w:r>
        <w:rPr>
          <w:rFonts w:ascii="Hiragino Sans GB" w:hAnsi="Hiragino Sans GB" w:eastAsia="Hiragino Sans GB"/>
        </w:rPr>
        <w:t>值得做的不是‘用 AI 内容抢份额’，而是先做一份可复核的单 SKU Offer 包，并在合法可行的渠道中验证：成人目标场景是否愿意产生合格询盘、供应链是否能在承诺期限内报价与履约、首单后是否有复购/补货。未同时出现这三项，不扩内容或预算。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七、海鲜线审计：有产品输入，不等于有高端闭环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货盘 PDF 是本次海鲜线最强的内部原始输入：20 个冷冻海产品候选、表内 554 件与 2,895 kg；其中 41/50 单冻虾仁为当前规划建议的第一个候选。它只证明一份货品表存在，且部分行重量/体积为零或缺失。它不能证明货物已进入尼泊尔、可售库存、食品/进口合规、冷链、损耗、B2C 包装、配送能力或客户需求。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外部贸易反方证据很重要：公开贸易数据库显示，尼泊尔 2022 年 HS03（鱼、甲壳类、软体动物等）进口总额约 636 万美元，其中甲壳类约 29.9 万美元；印度占 HS03 进口约 54%，越南约 42%。数据较旧、也可能低估非正式贸易，但它不支持把‘高端海鲜’当作已被证明的大盘卖方市场。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100"/>
        <w:gridCol w:w="17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问题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公开或内部线索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不支持的推断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品类真实存在</w:t>
            </w:r>
          </w:p>
        </w:tc>
        <w:tc>
          <w:tcPr>
            <w:tcW w:type="dxa" w:w="30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2022 年 HS03 进口约 636 万美元、0306 甲壳类约 29.9 万美元；加德满都公开零售可见冷冻虾。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不等于本项目品种、品质、成本、销量、库存或高端溢价；贸易值为历史公开数据。</w:t>
            </w:r>
          </w:p>
        </w:tc>
        <w:tc>
          <w:tcPr>
            <w:tcW w:type="dxa" w:w="17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品类存在：已确认；高端规模偏小/待更新。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餐饮场景</w:t>
            </w:r>
          </w:p>
        </w:tc>
        <w:tc>
          <w:tcPr>
            <w:tcW w:type="dxa" w:w="30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公开餐饮页面在 Kathmandu 显示鱼、虾、鱿鱼等菜品与订单界面；可作为高端中餐/日韩餐/酒店的 ICP 线索。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菜单或单店评分不能证明餐饮 B2B 的采购量、回款、冷库或供应切换意愿。</w:t>
            </w:r>
          </w:p>
        </w:tc>
        <w:tc>
          <w:tcPr>
            <w:tcW w:type="dxa" w:w="17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可做 ICP 候选，不是需求证明。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线上 B2C</w:t>
            </w:r>
          </w:p>
        </w:tc>
        <w:tc>
          <w:tcPr>
            <w:tcW w:type="dxa" w:w="30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公开页面显示至少部分冷冻虾可在 Kathmandu/Lalitpur/Bhaktapur 配送，配送费按体积/重量/位置计算。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不能证明项目冷链、及时性、退货、温控责任或单位经济。</w:t>
            </w:r>
          </w:p>
        </w:tc>
        <w:tc>
          <w:tcPr>
            <w:tcW w:type="dxa" w:w="17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有渠道前例；项目闭环未知。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最大超市签约</w:t>
            </w:r>
          </w:p>
        </w:tc>
        <w:tc>
          <w:tcPr>
            <w:tcW w:type="dxa" w:w="30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用户/供应链口述：已签当地最大超市。仓库未见当前合同/订单/上架/回款书面证据。</w:t>
            </w:r>
          </w:p>
        </w:tc>
        <w:tc>
          <w:tcPr>
            <w:tcW w:type="dxa" w:w="31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即使存在，供应链能力或批发需求也不等于用户线上获客利润。</w:t>
            </w:r>
          </w:p>
        </w:tc>
        <w:tc>
          <w:tcPr>
            <w:tcW w:type="dxa" w:w="17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待验证；不得计入收入预测。</w:t>
            </w:r>
          </w:p>
        </w:tc>
      </w:tr>
    </w:tbl>
    <w:p>
      <w:pPr>
        <w:spacing w:after="0"/>
      </w:pPr>
    </w:p>
    <w:p>
      <w:pPr>
        <w:spacing w:before="80" w:after="120" w:line="264" w:lineRule="auto"/>
        <w:ind w:left="173" w:right="115"/>
        <w:shd w:val="clear" w:fill="FFF7E8"/>
        <w:pBdr>
          <w:left w:val="single" w:sz="18" w:space="8" w:color="7A5A00"/>
        </w:pBdr>
      </w:pPr>
      <w:r>
        <w:rPr>
          <w:rFonts w:ascii="Hiragino Sans GB" w:hAnsi="Hiragino Sans GB" w:eastAsia="Hiragino Sans GB"/>
          <w:b/>
          <w:color w:val="7A5A00"/>
        </w:rPr>
        <w:t xml:space="preserve">海鲜下一步裁决  </w:t>
      </w:r>
      <w:r>
        <w:rPr>
          <w:rFonts w:ascii="Hiragino Sans GB" w:hAnsi="Hiragino Sans GB" w:eastAsia="Hiragino Sans GB"/>
        </w:rPr>
        <w:t>优先 B2B 的‘一个产品 + 一个城市群 + 一个 ICP + 一个受控来源’验证，而非面向消费者大规模内容投放。用户的角色是获客、资格判断、供应链交接和数据反馈；供应链必须把报价、样品、成交、履约、退款与结果按 lead_id 回传，否则无法计算用户获客价值。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八、AI+模式：只能先证明效率，不可先假定降低 CAC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CAC（Customer Acquisition Cost，客户获取成本）应计入为获得一个实际新客户而发生的所有可归因获客成本，而非只计算广告花费。AI 的价值不是会做视频或能爬网页，而是同等质量下减少可归因成本、缩短响应时间或提高可验证转化。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50"/>
        <w:gridCol w:w="3200"/>
        <w:gridCol w:w="24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可能改善的指标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现在的证据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审计裁决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AI 视频/脚本</w:t>
            </w:r>
          </w:p>
        </w:tc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内容制作工时、测试频率、内容→合格询盘率。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仅有内部草稿/质量规范；无发布、无询盘、无订单归因。</w:t>
            </w:r>
          </w:p>
        </w:tc>
        <w:tc>
          <w:tcPr>
            <w:tcW w:type="dxa" w:w="24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DELAY；先对比 20 条/两批人工基线。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客户研究/爬虫</w:t>
            </w:r>
          </w:p>
        </w:tc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每个合格企业/线索的人工时间。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项目明确为 synthetic/fake 或内部设计；无真实来源处理授权。</w:t>
            </w:r>
          </w:p>
        </w:tc>
        <w:tc>
          <w:tcPr>
            <w:tcW w:type="dxa" w:w="24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DELAY；仅作合规内部研究。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AI 客服/自动回复</w:t>
            </w:r>
          </w:p>
        </w:tc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首响时间、漏跟进率、人工负担。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无真实账号、隐私/同意、产品事实或人工接管证据。</w:t>
            </w:r>
          </w:p>
        </w:tc>
        <w:tc>
          <w:tcPr>
            <w:tcW w:type="dxa" w:w="24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DELAY；不得自动报价/发送。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CRM/自动化</w:t>
            </w:r>
          </w:p>
        </w:tc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下一步完成率、归因完整度、复购追踪。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已有合同层设计，但没有真实询盘/订单。</w:t>
            </w:r>
          </w:p>
        </w:tc>
        <w:tc>
          <w:tcPr>
            <w:tcW w:type="dxa" w:w="24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KEEP/REFOCUS；先用轻量人工表。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事实锁/审计/DNC</w:t>
            </w:r>
          </w:p>
        </w:tc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错误率、合规事故、资料过期风险。</w:t>
            </w:r>
          </w:p>
        </w:tc>
        <w:tc>
          <w:tcPr>
            <w:tcW w:type="dxa" w:w="3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本地系统的强项，但不直接获客。</w:t>
            </w:r>
          </w:p>
        </w:tc>
        <w:tc>
          <w:tcPr>
            <w:tcW w:type="dxa" w:w="24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KEEP；作为规模化前护栏。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AI 通过标准：对同一任务至少比较 20 个单位或两个完整批次；记录人工分钟、AI 分钟、人工接受/修改/拒绝、事实错误率，以及下游合格询盘率是否不劣化。没有净收益就停止，不应因工具已搭建而扩大使用。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九、单位经济模型：先定义用户的钱，而不是商品的毛利</w:t>
      </w:r>
    </w:p>
    <w:p>
      <w:pPr>
        <w:spacing w:before="80" w:after="120" w:line="264" w:lineRule="auto"/>
        <w:ind w:left="173" w:right="115"/>
        <w:shd w:val="clear" w:fill="FDECEC"/>
        <w:pBdr>
          <w:left w:val="single" w:sz="18" w:space="8" w:color="9B1C1C"/>
        </w:pBdr>
      </w:pPr>
      <w:r>
        <w:rPr>
          <w:rFonts w:ascii="Hiragino Sans GB" w:hAnsi="Hiragino Sans GB" w:eastAsia="Hiragino Sans GB"/>
          <w:b/>
          <w:color w:val="9B1C1C"/>
        </w:rPr>
        <w:t xml:space="preserve">关键缺口  </w:t>
      </w:r>
      <w:r>
        <w:rPr>
          <w:rFonts w:ascii="Hiragino Sans GB" w:hAnsi="Hiragino Sans GB" w:eastAsia="Hiragino Sans GB"/>
        </w:rPr>
        <w:t>现有资料没有确定用户从汾酒订单获得的分润/佣金，也没有确定用户从海鲜供应链成交获得的回报公式。因此无法把 GMV 或供应链毛利换算成‘用户本人净利润’。这是本审计最重要的财务阻断。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通用公式：用户月经营净利润 = 用户可归属收入 − 商品/落地/履约的用户承担部分 − 获客与内容成本 − 人员/工具/固定成本 − 退款/坏账/损耗分摊 − 税费/汇兑与其他分成。若用户只拿佣金，则所有计算必须基于已签佣金规则和供应链回传的实际付款订单，而非标价。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成本/收入项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汾酒必须取得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海鲜必须取得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可归属收入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用户是拿价差、固定佣金还是阶梯返利；何时结算；退货如何回冲。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Lead/订单/复购各自佣金；供应链是否接受、报价与成交才结算；用户是否承担渠道费用。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产品与落地成本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供货价、税费/关税、进口/本地物流、包装、最低价、价格有效期。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采购价、跨境/本地冷链、税费、仓储、拣配、损耗、标签/包装。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履约与风险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支付、配送、破损、拒收、退换、售后与责任界面。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温控记录、冷链 SLA、失温/损耗、退货、食品投诉、配送范围。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获客与运营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内容/创意、人力、广告、渠道/支付费用、客服与复购成本。</w:t>
            </w:r>
          </w:p>
        </w:tc>
        <w:tc>
          <w:tcPr>
            <w:tcW w:type="dxa" w:w="373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内容/搜索/目录、人力、平台/配送/支付费用、B2B 访问/样品（由谁承担）。</w:t>
            </w:r>
          </w:p>
        </w:tc>
      </w:tr>
    </w:tbl>
    <w:p>
      <w:pPr>
        <w:spacing w:after="0"/>
      </w:pPr>
    </w:p>
    <w:p>
      <w:pPr>
        <w:spacing w:before="80" w:after="100" w:line="240" w:lineRule="auto"/>
      </w:pPr>
      <w:r>
        <w:rPr>
          <w:rFonts w:ascii="Hiragino Sans GB" w:hAnsi="Hiragino Sans GB" w:eastAsia="Hiragino Sans GB"/>
          <w:b/>
          <w:color w:val="5C6773"/>
          <w:sz w:val="17"/>
        </w:rPr>
        <w:t>来源：</w:t>
      </w:r>
      <w:r>
        <w:rPr>
          <w:rFonts w:ascii="Hiragino Sans GB" w:hAnsi="Hiragino Sans GB" w:eastAsia="Hiragino Sans GB"/>
          <w:color w:val="5C6773"/>
          <w:sz w:val="17"/>
        </w:rPr>
        <w:t>汇率仅用于以下情景换算：Nepal Rastra Bank 2026-08-29 外汇牌价显示 1 CNY 卖出价 NPR 22.75。每次报价和结算必须按当日有效牌价重算。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十、5 万 / 10 万人民币净利倒推：先看量级，再补真实单价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以 2026-08-29 的 NPR 22.75/CNY 换算，用户月净利目标约为 NPR 1,137,500（5 万人民币）或 NPR 2,275,000（10 万人民币）。下表不是预测，而是在用户‘每个已付款订单最终留下的可归属贡献利润’已扣除其应承担全部变动成本之后，倒推所需订单量。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200"/>
        <w:gridCol w:w="2200"/>
        <w:gridCol w:w="2710"/>
      </w:tblGrid>
      <w:tr>
        <w:trPr>
          <w:tblHeader w:val="true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用户贡献利润/付费订单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5 万人民币/月所需订单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10 万人民币/月所需订单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¥100 / NPR 2,275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500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1,000</w:t>
            </w:r>
          </w:p>
        </w:tc>
        <w:tc>
          <w:tcPr>
            <w:tcW w:type="dxa" w:w="27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低佣金或低客单品，需要极高频率与稳定履约。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¥250 / NPR 5,688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200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400</w:t>
            </w:r>
          </w:p>
        </w:tc>
        <w:tc>
          <w:tcPr>
            <w:tcW w:type="dxa" w:w="27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适合作为中等净贡献的基准情景，不是实际价格。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¥500 / NPR 11,375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100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200</w:t>
            </w:r>
          </w:p>
        </w:tc>
        <w:tc>
          <w:tcPr>
            <w:tcW w:type="dxa" w:w="27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需较高客单、足够毛利/分润和可复购。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¥1,000 / NPR 22,750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50</w:t>
            </w:r>
          </w:p>
        </w:tc>
        <w:tc>
          <w:tcPr>
            <w:tcW w:type="dxa" w:w="22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100</w:t>
            </w:r>
          </w:p>
        </w:tc>
        <w:tc>
          <w:tcPr>
            <w:tcW w:type="dxa" w:w="27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需高价值 B2B/礼赠或高度确定的单笔贡献。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以‘每订单用户净贡献 ¥250’的中性演示为例：5 万目标需要 200 付费订单/月；若合格询盘成交率为 10%，需要 2,000 个合格询盘；若落地页/私域承接到合格询盘率为 3%，需要约 66,700 个高意向会话/访问；若短视频观看到会话率为 1%，则约需 667 万有效观看。10 万目标全部翻倍。这组漏斗参数没有真实数据，正是必须验证的变量，不可拿来做收入承诺。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50"/>
        <w:gridCol w:w="2950"/>
        <w:gridCol w:w="19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业务线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正确倒推单位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当前无法填入的变量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达标前必须出现的证据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汾酒 B2C/B2B</w:t>
            </w:r>
          </w:p>
        </w:tc>
        <w:tc>
          <w:tcPr>
            <w:tcW w:type="dxa" w:w="27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每订单的用户净贡献 → 合格询盘 → 人工对话 → 已付款订单 → 复购。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实际 SKU 价格、用户佣金、支付/配送、广告、退货、复购。</w:t>
            </w:r>
          </w:p>
        </w:tc>
        <w:tc>
          <w:tcPr>
            <w:tcW w:type="dxa" w:w="1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一个合法 Offer、连续订单、订单级贡献、履约及时率和复购/补货。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海鲜 B2C</w:t>
            </w:r>
          </w:p>
        </w:tc>
        <w:tc>
          <w:tcPr>
            <w:tcW w:type="dxa" w:w="27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每订单净贡献或每 kg 净贡献 → 复购；损耗必须进入贡献。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落地成本、冷链/配送、损耗、退货、平台费、用户分成。</w:t>
            </w:r>
          </w:p>
        </w:tc>
        <w:tc>
          <w:tcPr>
            <w:tcW w:type="dxa" w:w="1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温控/损耗/退款记录、按 SKU 的周转与真实复购。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海鲜 B2B</w:t>
            </w:r>
          </w:p>
        </w:tc>
        <w:tc>
          <w:tcPr>
            <w:tcW w:type="dxa" w:w="27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每 supplier-accepted account 的用户可归属贡献 → 复购订单 → 回款。</w:t>
            </w:r>
          </w:p>
        </w:tc>
        <w:tc>
          <w:tcPr>
            <w:tcW w:type="dxa" w:w="29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佣金、成交率、客单、账期、复购间隔、供应链反馈。</w:t>
            </w:r>
          </w:p>
        </w:tc>
        <w:tc>
          <w:tcPr>
            <w:tcW w:type="dxa" w:w="1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按 lead_id 的 accepted/offered/won/fulfilled 与回款回传。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十一、成功概率：区间用于决策，不是市场预测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以下是‘用户本人稳定拿到月净利润’的当前基线概率，不是产品卖掉一单的概率。它已把现有的证据缺口、汾酒广告限制、TikTok Shop 不可用、供应链未就绪与用户分润未知计入。置信度为低：因为关键输入不是不利数据，而是缺失数据。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600"/>
        <w:gridCol w:w="1600"/>
        <w:gridCol w:w="1600"/>
        <w:gridCol w:w="331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路径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3 个月（5万 / 10万）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6 个月（5万 / 10万）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12 个月（5万 / 10万）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主要决定变量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汾酒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&lt;20% / &lt;20%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&lt;20% / &lt;20%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20–40% / &lt;20%</w:t>
            </w:r>
          </w:p>
        </w:tc>
        <w:tc>
          <w:tcPr>
            <w:tcW w:type="dxa" w:w="33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酒类广告路径的书面合法性、可售 SKU/价格/授权、线下/非广告合规成交路径、复购和用户分润。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海鲜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&lt;20% / &lt;20%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&lt;20% / &lt;20%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20–40% / &lt;20%</w:t>
            </w:r>
          </w:p>
        </w:tc>
        <w:tc>
          <w:tcPr>
            <w:tcW w:type="dxa" w:w="33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实际 landed cost、冷链损耗、供应链成交与回传、B2B 复购、用户佣金和获客成本。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组合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&lt;20% / &lt;20%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&lt;20% / &lt;20%</w:t>
            </w:r>
          </w:p>
        </w:tc>
        <w:tc>
          <w:tcPr>
            <w:tcW w:type="dxa" w:w="1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20–40% / &lt;20%</w:t>
            </w:r>
          </w:p>
        </w:tc>
        <w:tc>
          <w:tcPr>
            <w:tcW w:type="dxa" w:w="33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两条线不能互证；共用人力反而可能分散，只有各自闭环后才有组合增益。</w:t>
            </w:r>
          </w:p>
        </w:tc>
      </w:tr>
    </w:tbl>
    <w:p>
      <w:pPr>
        <w:spacing w:after="0"/>
      </w:pPr>
    </w:p>
    <w:p>
      <w:pPr>
        <w:pStyle w:val="ListBullet"/>
        <w:spacing w:after="80" w:line="280" w:lineRule="auto"/>
      </w:pPr>
      <w:r>
        <w:rPr>
          <w:rFonts w:ascii="Hiragino Sans GB" w:hAnsi="Hiragino Sans GB" w:eastAsia="Hiragino Sans GB"/>
        </w:rPr>
        <w:t>显著上调概率的证据：一份已签/书面的用户收益公式；一个合规可售 Offer；连续 4 周订单与实际履约；订单级贡献利润为正；首批客户/企业出现复购；渠道级 CAC 小于允许 CAC。</w:t>
      </w:r>
    </w:p>
    <w:p>
      <w:pPr>
        <w:pStyle w:val="ListBullet"/>
        <w:spacing w:after="80" w:line="280" w:lineRule="auto"/>
      </w:pPr>
      <w:r>
        <w:rPr>
          <w:rFonts w:ascii="Hiragino Sans GB" w:hAnsi="Hiragino Sans GB" w:eastAsia="Hiragino Sans GB"/>
        </w:rPr>
        <w:t>显著下调概率的证据：许可证或平台书面意见否定路径；价格保护/独家代理限制线上销售；冷链损耗/退款吞噬贡献；供应链不能在 SLA 内报价/交付；用户分润低于所需订单量级；播放多但合格询盘为零。</w:t>
      </w:r>
    </w:p>
    <w:p>
      <w:pPr>
        <w:pStyle w:val="ListBullet"/>
        <w:spacing w:after="80" w:line="280" w:lineRule="auto"/>
      </w:pPr>
      <w:r>
        <w:rPr>
          <w:rFonts w:ascii="Hiragino Sans GB" w:hAnsi="Hiragino Sans GB" w:eastAsia="Hiragino Sans GB"/>
        </w:rPr>
        <w:t>概率不会因生成更多视频、扩充爬虫、测试通过或看到单个竞品网页而上调。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十二、对现有执行规划的 KEEP / MODIFY / DELAY / REMOVE / ADD 裁决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00"/>
        <w:gridCol w:w="51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裁决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理由与必须回答的商业指标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KEEP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Sellable Offer、事实锁、审批、DNC、审计、人工交接、content_id→outcome 归因。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降低过期事实、违规和漏跟进风险；对应 Offer ready、履约错误率、归因完整度。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MODIFY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TikTok ‘主线’定位。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汾酒改为合规/法律/平台资格探测，不能默认公开推广；海鲜改为‘内容发现候选’，必须站外承接且与搜索/目录对照。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MODIFY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CRM/Leads/Customer Service。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先变成轻量人工的 owner、next action、outcome 表；指标是响应时效、漏跟进、qualified→won 归因，而非字段数量。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DELAY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AI 视频工厂、真实 provider、自动化客服、Gmail/outreach、批量内容和付费广告。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无合格 Offer、政策/授权或人工基线；暂不能证明降低 CAC/提高转化。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DELAY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多平台、第二渠道、TikTok/Meta 广告、TikTok Shop。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TikTok Shop 官方不支持 Nepal；酒类有本地广告限制；海鲜也未证明第一渠道有效。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REMOVE（作为当前优先级）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TikTok-only、浏览/爬取数量、虚荣播放量、把海鲜订单责任压给用户。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它们不对应用户净利；删除的是优先级，不删除历史审计资产。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ADD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供应链事实资料室 + 用户收益协议 + 订单/履约回传接口。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这是唯一能把商品毛利变成用户净利模型的输入；指标是资料 READY 率、SLA、回传完整度。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ADD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对照式试验台账。</w:t>
            </w:r>
          </w:p>
        </w:tc>
        <w:tc>
          <w:tcPr>
            <w:tcW w:type="dxa" w:w="511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每次只改变一个变量，记录来源、内容/搜索、询盘、合格、成交、履约、复购和全部成本。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十三、如果今天重新开始：未来 30 天最值得做的最小现实验证</w:t>
      </w:r>
    </w:p>
    <w:p>
      <w:pPr>
        <w:spacing w:before="80" w:after="120" w:line="264" w:lineRule="auto"/>
        <w:ind w:left="173" w:right="115"/>
        <w:shd w:val="clear" w:fill="EAF4EF"/>
        <w:pBdr>
          <w:left w:val="single" w:sz="18" w:space="8" w:color="1F5B46"/>
        </w:pBdr>
      </w:pPr>
      <w:r>
        <w:rPr>
          <w:rFonts w:ascii="Hiragino Sans GB" w:hAnsi="Hiragino Sans GB" w:eastAsia="Hiragino Sans GB"/>
          <w:b/>
          <w:color w:val="1F5B46"/>
        </w:rPr>
        <w:t xml:space="preserve">原则  </w:t>
      </w:r>
      <w:r>
        <w:rPr>
          <w:rFonts w:ascii="Hiragino Sans GB" w:hAnsi="Hiragino Sans GB" w:eastAsia="Hiragino Sans GB"/>
        </w:rPr>
        <w:t>30 天目标不是‘做出爆款’或‘拿到 GMV’，而是把一个可售 Offer、一个可行成交路径和一个可计量的用户收益单元从 UNKNOWN 变成可证伪的事实。所有外部动作仍以前置授权和当地专业意见为条件。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700"/>
        <w:gridCol w:w="2820"/>
        <w:gridCol w:w="259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汾酒（优先解除硬阻断）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海鲜（优先验证供应链可承接）</w:t>
            </w:r>
          </w:p>
        </w:tc>
        <w:tc>
          <w:tcPr>
            <w:tcW w:type="dxa" w:w="25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通过/停止标准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第 1–5 天</w:t>
            </w:r>
          </w:p>
        </w:tc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供应链指定 1 个实物 SKU；交付标签/条码/图片权、价格有效期、库存、主体/许可证/品牌授权、线上销售权、收款/配送/退换/owner。</w:t>
            </w:r>
          </w:p>
        </w:tc>
        <w:tc>
          <w:tcPr>
            <w:tcW w:type="dxa" w:w="28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供应链指定 1 个候选产品（建议先 SM-03 或书面更优替代）；交付食品/进口、成本/冷链、MOQ、服务区、报价与 Lead owner。</w:t>
            </w:r>
          </w:p>
        </w:tc>
        <w:tc>
          <w:tcPr>
            <w:tcW w:type="dxa" w:w="259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任一关键字段无来源/日期/owner/有效期=BLOCKED，不转内容。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第 6–10 天</w:t>
            </w:r>
          </w:p>
        </w:tc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取得当地酒类广告/数字渠道的书面专业意见；向 TikTok/代理确认该主体和市场的酒类商业内容/广告资格；确认无 TikTok Shop 路线。</w:t>
            </w:r>
          </w:p>
        </w:tc>
        <w:tc>
          <w:tcPr>
            <w:tcW w:type="dxa" w:w="28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核验产品标签、温控/冷链、可配送区、退货责任、B2B/B2C 可承接状态；确定用户佣金/费用承担。</w:t>
            </w:r>
          </w:p>
        </w:tc>
        <w:tc>
          <w:tcPr>
            <w:tcW w:type="dxa" w:w="259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不能获得书面意见或合法路径=不公开测试。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第 11–20 天</w:t>
            </w:r>
          </w:p>
        </w:tc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只做非公开的竞品/价格/渠道观察与人工销售脚本演练；设计合规情况下的 1 个成人场景/一条 CTA/一个 owner。</w:t>
            </w:r>
          </w:p>
        </w:tc>
        <w:tc>
          <w:tcPr>
            <w:tcW w:type="dxa" w:w="28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只做 1 产品+1 ICP+Kathmandu Valley+1 Route 的内部名单/内容/交接演练；不触达未经授权联系人。</w:t>
            </w:r>
          </w:p>
        </w:tc>
        <w:tc>
          <w:tcPr>
            <w:tcW w:type="dxa" w:w="259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输出可审计 test brief 和允许 CAC/允许损耗的公式。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第 21–30 天（条件解锁）</w:t>
            </w:r>
          </w:p>
        </w:tc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仅在书面合法、平台、Offer、账号与用户授权都齐备时，运行一个受控人工询盘/合法渠道测试；每条记录 content/source→inquiry→outcome。</w:t>
            </w:r>
          </w:p>
        </w:tc>
        <w:tc>
          <w:tcPr>
            <w:tcW w:type="dxa" w:w="282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仅在产品包、来源/联系人处理依据、DNC、供应链 Lead owner 和用户授权齐备时，进行小样本合规获客；供应链回传接受/报价/成交/履约。</w:t>
            </w:r>
          </w:p>
        </w:tc>
        <w:tc>
          <w:tcPr>
            <w:tcW w:type="dxa" w:w="259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没有下游结果不得扩量；10 个询盘/5 个供应链决策前不谈规模。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十四、由供应链补齐的书面资料：哪些问题现在仍无法回答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60"/>
        <w:gridCol w:w="2450"/>
        <w:gridCol w:w="180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资料包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必须字段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解锁什么判断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缺失时的状态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汾酒产品与商业政策</w:t>
            </w:r>
          </w:p>
        </w:tc>
        <w:tc>
          <w:tcPr>
            <w:tcW w:type="dxa" w:w="34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实际 SKU/条码/标签/度数/容量/图片权、供货/零售/最低价、税费、库存/补货、佣金/返利和有效期。</w:t>
            </w:r>
          </w:p>
        </w:tc>
        <w:tc>
          <w:tcPr>
            <w:tcW w:type="dxa" w:w="2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能否卖、卖给谁、贡献利润/订单和价格竞争。</w:t>
            </w:r>
          </w:p>
        </w:tc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FJ-1 BLOCKED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汾酒主体/渠道/合规</w:t>
            </w:r>
          </w:p>
        </w:tc>
        <w:tc>
          <w:tcPr>
            <w:tcW w:type="dxa" w:w="34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当地公司、进口/酒类销售许可、品牌授权、线上销售权、区域/独家条款、年龄机制、TikTok/网站/消息书面意见。</w:t>
            </w:r>
          </w:p>
        </w:tc>
        <w:tc>
          <w:tcPr>
            <w:tcW w:type="dxa" w:w="2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合法渠道与内容/成交边界。</w:t>
            </w:r>
          </w:p>
        </w:tc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公开或付费推广 BLOCKED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汾酒履约</w:t>
            </w:r>
          </w:p>
        </w:tc>
        <w:tc>
          <w:tcPr>
            <w:tcW w:type="dxa" w:w="34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收款主体、仓库、配送区/时效/费用、破损/退换/售后、订单 owner、SLA。</w:t>
            </w:r>
          </w:p>
        </w:tc>
        <w:tc>
          <w:tcPr>
            <w:tcW w:type="dxa" w:w="2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真实报价、订单交接与复购是否可能。</w:t>
            </w:r>
          </w:p>
        </w:tc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订单/收款 BLOCKED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海鲜产品/食品/冷链</w:t>
            </w:r>
          </w:p>
        </w:tc>
        <w:tc>
          <w:tcPr>
            <w:tcW w:type="dxa" w:w="34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每 SKU 的原产地/批次/标签、食品进口/销售、到货/库存、温控记录、仓储/配送/损耗/退货、MOQ。</w:t>
            </w:r>
          </w:p>
        </w:tc>
        <w:tc>
          <w:tcPr>
            <w:tcW w:type="dxa" w:w="2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B2C/B2B 可售性与真实贡献利润。</w:t>
            </w:r>
          </w:p>
        </w:tc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SF-S1 NOT_READY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海鲜成交与用户收益</w:t>
            </w:r>
          </w:p>
        </w:tc>
        <w:tc>
          <w:tcPr>
            <w:tcW w:type="dxa" w:w="34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可承接 ICP、报价/样品/谈判 owner、用户佣金/费用、Lead 回传字段、订单/回款/复购状态。</w:t>
            </w:r>
          </w:p>
        </w:tc>
        <w:tc>
          <w:tcPr>
            <w:tcW w:type="dxa" w:w="2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用户获客是否最终能转化成可归属净利。</w:t>
            </w:r>
          </w:p>
        </w:tc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用户利润 UNKNOWN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超市合作（若存在）</w:t>
            </w:r>
          </w:p>
        </w:tc>
        <w:tc>
          <w:tcPr>
            <w:tcW w:type="dxa" w:w="34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签约主体、合同/授权范围、首单/上架/结算/退货、可否线上引流、供应链负荷。</w:t>
            </w:r>
          </w:p>
        </w:tc>
        <w:tc>
          <w:tcPr>
            <w:tcW w:type="dxa" w:w="245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供应链能力和需求线索；不能直接代替用户线上 ROI。</w:t>
            </w:r>
          </w:p>
        </w:tc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6"/>
              </w:rPr>
              <w:t>仍为口述/待验证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</w:rPr>
        <w:t>十五、决策门：何时继续、何时停止、何时扩张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00"/>
        <w:gridCol w:w="29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决策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必须同时满足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不能用来代替的假象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继续最小验证</w:t>
            </w:r>
          </w:p>
        </w:tc>
        <w:tc>
          <w:tcPr>
            <w:tcW w:type="dxa" w:w="4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一个书面可售 Offer；用户收益公式；合规/平台/账号/履约边界；唯一 owner；可追踪的测试表。</w:t>
            </w:r>
          </w:p>
        </w:tc>
        <w:tc>
          <w:tcPr>
            <w:tcW w:type="dxa" w:w="2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朋友看好、供应链说好卖、视频做完、竞品网页、单次询盘。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暂停/止损</w:t>
            </w:r>
          </w:p>
        </w:tc>
        <w:tc>
          <w:tcPr>
            <w:tcW w:type="dxa" w:w="4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许可/授权否定；用户贡献为负；供应链不能在 SLA 内报价/交付；反馈无法回传；合格询盘长期为零。</w:t>
            </w:r>
          </w:p>
        </w:tc>
        <w:tc>
          <w:tcPr>
            <w:tcW w:type="dxa" w:w="2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因为已经投入系统、沉没成本或一条视频播放高。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扩张</w:t>
            </w:r>
          </w:p>
        </w:tc>
        <w:tc>
          <w:tcPr>
            <w:tcW w:type="dxa" w:w="46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连续两个完整周期：订单/供应链结果可归因、履约稳定、订单贡献为正、复购或补货出现、CAC 在上限内且无合规事故。</w:t>
            </w:r>
          </w:p>
        </w:tc>
        <w:tc>
          <w:tcPr>
            <w:tcW w:type="dxa" w:w="29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GMV、毛利率、爬到的公司数、点赞数、测试绿灯。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b/>
        </w:rPr>
        <w:t>附录 A：公开证据与来源登记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证据强度：A=政府/平台一手；B=权威机构/主流媒体；C=可访问商业页面。商业页面只证明其页面在审计日可见，不证明销量、资格或项目可用性。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[E01] </w:t>
      </w:r>
      <w:hyperlink r:id="rId11">
        <w:r>
          <w:rPr>
            <w:rFonts w:ascii="Hiragino Sans GB" w:hAnsi="Hiragino Sans GB" w:eastAsia="Hiragino Sans GB"/>
            <w:color w:val="2E74B5"/>
            <w:u w:val="single"/>
          </w:rPr>
          <w:t>DataReportal, Digital 2026: Nepal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证据强度：A/B | 数据截至 2025-10；互联网 1,660 万、社媒身份 1,480 万；未给出独立 TikTok 受众。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[E02] </w:t>
      </w:r>
      <w:hyperlink r:id="rId12">
        <w:r>
          <w:rPr>
            <w:rFonts w:ascii="Hiragino Sans GB" w:hAnsi="Hiragino Sans GB" w:eastAsia="Hiragino Sans GB"/>
            <w:color w:val="2E74B5"/>
            <w:u w:val="single"/>
          </w:rPr>
          <w:t>TikTok for Business, TikTok Shop and Showcase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更新 2026-06；支持市场清单不含 Nepal。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[E03] </w:t>
      </w:r>
      <w:hyperlink r:id="rId13">
        <w:r>
          <w:rPr>
            <w:rFonts w:ascii="Hiragino Sans GB" w:hAnsi="Hiragino Sans GB" w:eastAsia="Hiragino Sans GB"/>
            <w:color w:val="2E74B5"/>
            <w:u w:val="single"/>
          </w:rPr>
          <w:t>TikTok for Business, Alcohol policy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更新 2025-09；酒类推广须在获批市场、具备当地合法性、许可、ABV 与责任饮酒信息。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[E04] </w:t>
      </w:r>
      <w:hyperlink r:id="rId14">
        <w:r>
          <w:rPr>
            <w:rFonts w:ascii="Hiragino Sans GB" w:hAnsi="Hiragino Sans GB" w:eastAsia="Hiragino Sans GB"/>
            <w:color w:val="2E74B5"/>
            <w:u w:val="single"/>
          </w:rPr>
          <w:t>Nepal Advertisement Board alcohol notice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官方公告：数字媒体、社交网络等不得发布或传播酒类广告；引用最高法院临时命令。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[E05] </w:t>
      </w:r>
      <w:hyperlink r:id="rId15">
        <w:r>
          <w:rPr>
            <w:rFonts w:ascii="Hiragino Sans GB" w:hAnsi="Hiragino Sans GB" w:eastAsia="Hiragino Sans GB"/>
            <w:color w:val="2E74B5"/>
            <w:u w:val="single"/>
          </w:rPr>
          <w:t>Nepal Public Health Service Act, 2018, s.45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官方检索页载明禁制对健康有害材料（含 alcohol）的广告材料；具体适用请当地专业人士确认。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[E06] </w:t>
      </w:r>
      <w:hyperlink r:id="rId16">
        <w:r>
          <w:rPr>
            <w:rFonts w:ascii="Hiragino Sans GB" w:hAnsi="Hiragino Sans GB" w:eastAsia="Hiragino Sans GB"/>
            <w:color w:val="2E74B5"/>
            <w:u w:val="single"/>
          </w:rPr>
          <w:t>WHO Nepal, monitoring alcohol advertising TOR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证据强度：B | 2023 资料描述广告禁令与最高法院执行背景；作法律环境旁证。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[E07] </w:t>
      </w:r>
      <w:hyperlink r:id="rId17">
        <w:r>
          <w:rPr>
            <w:rFonts w:ascii="Hiragino Sans GB" w:hAnsi="Hiragino Sans GB" w:eastAsia="Hiragino Sans GB"/>
            <w:color w:val="2E74B5"/>
            <w:u w:val="single"/>
          </w:rPr>
          <w:t>AP News, Nepal social platform registration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证据强度：B | 2025-09 报道 TikTok 已登记并可继续运营；不等于广告资格。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[E08] </w:t>
      </w:r>
      <w:hyperlink r:id="rId18">
        <w:r>
          <w:rPr>
            <w:rFonts w:ascii="Hiragino Sans GB" w:hAnsi="Hiragino Sans GB" w:eastAsia="Hiragino Sans GB"/>
            <w:color w:val="2E74B5"/>
            <w:u w:val="single"/>
          </w:rPr>
          <w:t>Cheers Online Store Nepal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审计日可见酒类品类、年龄确认、线上下单、配送/付款信息与进口烈酒价格陈列。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[E09] </w:t>
      </w:r>
      <w:hyperlink r:id="rId19">
        <w:r>
          <w:rPr>
            <w:rFonts w:ascii="Hiragino Sans GB" w:hAnsi="Hiragino Sans GB" w:eastAsia="Hiragino Sans GB"/>
            <w:color w:val="2E74B5"/>
            <w:u w:val="single"/>
          </w:rPr>
          <w:t>Drinks Nepal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审计日可见线上酒类/取货/配送描述；同页也出现‘配送当前不可用’，故只能作存在性证据。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[E10] </w:t>
      </w:r>
      <w:hyperlink r:id="rId20">
        <w:r>
          <w:rPr>
            <w:rFonts w:ascii="Hiragino Sans GB" w:hAnsi="Hiragino Sans GB" w:eastAsia="Hiragino Sans GB"/>
            <w:color w:val="2E74B5"/>
            <w:u w:val="single"/>
          </w:rPr>
          <w:t>The Kathmandu Suppliers, Frozen Prawn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审计日可见 21/25 冷冻虾 1.8 kg 块 NPR 3,600；非项目成本或市场均价。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[E11] </w:t>
      </w:r>
      <w:hyperlink r:id="rId21">
        <w:r>
          <w:rPr>
            <w:rFonts w:ascii="Hiragino Sans GB" w:hAnsi="Hiragino Sans GB" w:eastAsia="Hiragino Sans GB"/>
            <w:color w:val="2E74B5"/>
            <w:u w:val="single"/>
          </w:rPr>
          <w:t>Muncha, Bajeko Raw Frozen Prawn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审计日可见 1 kg 冷冻虾和 Kathmandu/Lalitpur/Bhaktapur 配送说明；不等于项目冷链能力。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[E12] </w:t>
      </w:r>
      <w:hyperlink r:id="rId22">
        <w:r>
          <w:rPr>
            <w:rFonts w:ascii="Hiragino Sans GB" w:hAnsi="Hiragino Sans GB" w:eastAsia="Hiragino Sans GB"/>
            <w:color w:val="2E74B5"/>
            <w:u w:val="single"/>
          </w:rPr>
          <w:t>TrendEconomy, Nepal HS03 imports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证据强度：B | 2022 年 HS03 进口约 636 万美元；印度 54%、越南 42%。公开贸易聚合库，日期较旧，不能代表高端项目可得份额。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[E13] </w:t>
      </w:r>
      <w:hyperlink r:id="rId23">
        <w:r>
          <w:rPr>
            <w:rFonts w:ascii="Hiragino Sans GB" w:hAnsi="Hiragino Sans GB" w:eastAsia="Hiragino Sans GB"/>
            <w:color w:val="2E74B5"/>
            <w:u w:val="single"/>
          </w:rPr>
          <w:t>TrendEconomy, Nepal HS0306 crustaceans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证据强度：B | 2022 年甲壳类进口约 29.9 万美元，较 2021 年下降 33%；仅为公开海关分类口径。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[E14] </w:t>
      </w:r>
      <w:hyperlink r:id="rId24">
        <w:r>
          <w:rPr>
            <w:rFonts w:ascii="Hiragino Sans GB" w:hAnsi="Hiragino Sans GB" w:eastAsia="Hiragino Sans GB"/>
            <w:color w:val="2E74B5"/>
            <w:u w:val="single"/>
          </w:rPr>
          <w:t>Foodmandu Fresh delivery page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审计日可见最低订单 NPR 1,000、同日配送条件；可说明高客单冷链履约约束，不代表项目能力。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[E15] </w:t>
      </w:r>
      <w:hyperlink r:id="rId25">
        <w:r>
          <w:rPr>
            <w:rFonts w:ascii="Hiragino Sans GB" w:hAnsi="Hiragino Sans GB" w:eastAsia="Hiragino Sans GB"/>
            <w:color w:val="2E74B5"/>
            <w:u w:val="single"/>
          </w:rPr>
          <w:t>Valley Cold Store shop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加德满都谷地公开冷冻食品零售入口；作本地竞争/履约前例。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[E16] </w:t>
      </w:r>
      <w:hyperlink r:id="rId26">
        <w:r>
          <w:rPr>
            <w:rFonts w:ascii="Hiragino Sans GB" w:hAnsi="Hiragino Sans GB" w:eastAsia="Hiragino Sans GB"/>
            <w:color w:val="2E74B5"/>
            <w:u w:val="single"/>
          </w:rPr>
          <w:t>Sewapoint seafood suppliers in Kathmandu Valley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证据强度：C | 公开列出多个 Kathmandu Valley 海鲜/冷冻供应商；作竞争存在性线索。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[E17] </w:t>
      </w:r>
      <w:hyperlink r:id="rId27">
        <w:r>
          <w:rPr>
            <w:rFonts w:ascii="Hiragino Sans GB" w:hAnsi="Hiragino Sans GB" w:eastAsia="Hiragino Sans GB"/>
            <w:color w:val="2E74B5"/>
            <w:u w:val="single"/>
          </w:rPr>
          <w:t>Nepal Department of Customs statistics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当前财政年度统计入口，显示官方贸易统计发布仍可获取；本审计未从其页面获得可可靠归因到高端海鲜 SKU 的完整年度值。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[E18] </w:t>
      </w:r>
      <w:hyperlink r:id="rId28">
        <w:r>
          <w:rPr>
            <w:rFonts w:ascii="Hiragino Sans GB" w:hAnsi="Hiragino Sans GB" w:eastAsia="Hiragino Sans GB"/>
            <w:color w:val="2E74B5"/>
            <w:u w:val="single"/>
          </w:rPr>
          <w:t>Nepal Rastra Bank, foreign exchange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2026-08-29：CNY 卖出价 NPR 22.75，用于本报告情景换算。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[E19] </w:t>
      </w:r>
      <w:hyperlink r:id="rId29">
        <w:r>
          <w:rPr>
            <w:rFonts w:ascii="Hiragino Sans GB" w:hAnsi="Hiragino Sans GB" w:eastAsia="Hiragino Sans GB"/>
            <w:color w:val="2E74B5"/>
            <w:u w:val="single"/>
          </w:rPr>
          <w:t>Nepal Tourism Board, Tourism Insights January 2026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证据强度：A | 1 月国际到达 92,573；中国 9,101（9.8%）。旅游存在不等于汾酒需求。</w:t>
      </w:r>
    </w:p>
    <w:p>
      <w:pPr>
        <w:spacing w:before="100" w:after="40" w:line="252" w:lineRule="auto"/>
      </w:pPr>
      <w:r>
        <w:rPr>
          <w:rFonts w:ascii="Hiragino Sans GB" w:hAnsi="Hiragino Sans GB" w:eastAsia="Hiragino Sans GB"/>
          <w:b/>
          <w:color w:val="0B2545"/>
          <w:sz w:val="18"/>
        </w:rPr>
        <w:t xml:space="preserve">[E20] </w:t>
      </w:r>
      <w:hyperlink r:id="rId30">
        <w:r>
          <w:rPr>
            <w:rFonts w:ascii="Hiragino Sans GB" w:hAnsi="Hiragino Sans GB" w:eastAsia="Hiragino Sans GB"/>
            <w:color w:val="2E74B5"/>
            <w:u w:val="single"/>
          </w:rPr>
          <w:t>WITS, Nepal HS2208 imports</w:t>
        </w:r>
      </w:hyperlink>
      <w:r>
        <w:rPr>
          <w:rFonts w:ascii="Hiragino Sans GB" w:hAnsi="Hiragino Sans GB" w:eastAsia="Hiragino Sans GB"/>
          <w:color w:val="3A4653"/>
          <w:sz w:val="17"/>
        </w:rPr>
        <w:t xml:space="preserve">  | 证据强度：B | 2022 年烈酒等 HS2208 进口约 1,571 万美元、约 100.2 万升；支持大类进口市场存在，不支持 Fenjiu 的具体需求。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b/>
        </w:rPr>
        <w:t>附录 B：本地项目审计范围与关键文件</w:t>
      </w:r>
    </w:p>
    <w:p>
      <w:pPr>
        <w:spacing w:before="0" w:after="120" w:line="264" w:lineRule="auto"/>
      </w:pPr>
      <w:r>
        <w:rPr>
          <w:rFonts w:ascii="Hiragino Sans GB" w:hAnsi="Hiragino Sans GB" w:eastAsia="Hiragino Sans GB"/>
        </w:rPr>
        <w:t>本报告读取并交叉核验的仓库范围：本地项目工作区（远端 fthytwerwt-sudo/fenjiu，main）。审计当日 local HEAD 与 origin/main 均为 b0621bcf715c9a5bb3a559bb9ffc9c6b18eee6e0，工作区无未提交改动。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800"/>
        <w:gridCol w:w="31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文件/材料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 w:val="clear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本报告如何使用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PROJECT_ENTRY.md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统一入口、阶段、职责和边界。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确定当前不属于公开销售阶段。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docs/project/BUSINESS_STATUS.md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当前业务事实、闸门与双线职责。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确定 SKU/价格/库存/许可/履约仍 UNKNOWN/BLOCKED。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docs/project/CURRENT_STATUS.md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当前阶段与工程/业务区别。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区分规划/技术资产与真实商业证据。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docs/strategy/fenjiu/FENJIU_EXECUTION_PLAYBOOK.md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汾酒 FJ-1 至 FJ-9 的执行设计。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审计 20/30 仅为标识、TikTok 为候选而非既成渠道。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docs/strategy/seafood/SEAFOOD_ONLINE_ACQUISITION_PLAYBOOK.md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海鲜用户获客职责、SF-U1 至 SF-U8。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审计用户不负责当地成交/履约，必须有 supplier feedback。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海鲜货盘单/尼泊尔市场冻品2026年第一批次进货清单(1).pdf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货盘原始输入。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记录 20 行、554 件、2,895 kg；不升级为本地库存或利润。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docs/strategy/CURRENT_TO_TARGET_GAP_ANALYSIS.md</w:t>
            </w:r>
          </w:p>
        </w:tc>
        <w:tc>
          <w:tcPr>
            <w:tcW w:type="dxa" w:w="280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工程模块与销售距离。</w:t>
            </w:r>
          </w:p>
        </w:tc>
        <w:tc>
          <w:tcPr>
            <w:tcW w:type="dxa" w:w="3160"/>
          </w:tcPr>
          <w:p>
            <w:pPr>
              <w:spacing w:before="0" w:after="40" w:line="252" w:lineRule="auto"/>
            </w:pPr>
            <w:r>
              <w:rPr>
                <w:rFonts w:ascii="Hiragino Sans GB" w:hAnsi="Hiragino Sans GB" w:eastAsia="Hiragino Sans GB"/>
                <w:b w:val="0"/>
                <w:color w:val="24292F"/>
                <w:sz w:val="17"/>
              </w:rPr>
              <w:t>用于 KEEP/MODIFY/DELAY/REMOVE/ADD 裁决。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Hiragino Sans GB" w:hAnsi="Hiragino Sans GB" w:eastAsia="Hiragino Sans GB"/>
          <w:b/>
        </w:rPr>
        <w:t>本报告未执行外发、发布、广告、收款、下单或修改仓库事实；</w:t>
      </w:r>
      <w:r>
        <w:rPr>
          <w:rFonts w:ascii="Hiragino Sans GB" w:hAnsi="Hiragino Sans GB" w:eastAsia="Hiragino Sans GB"/>
        </w:rPr>
        <w:t>仅为只读商业审计。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iragino Sans GB" w:hAnsi="Hiragino Sans GB" w:eastAsia="Hiragino Sans GB"/>
        <w:color w:val="5C6773"/>
        <w:sz w:val="17"/>
      </w:rPr>
      <w:t xml:space="preserve">机密讨论材料 | 第 </w:t>
    </w:r>
    <w:r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C67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D7DBE2"/>
      </w:pBdr>
    </w:pPr>
    <w:r>
      <w:rPr>
        <w:rFonts w:ascii="Hiragino Sans GB" w:hAnsi="Hiragino Sans GB" w:eastAsia="Hiragino Sans GB"/>
        <w:color w:val="5C6773"/>
        <w:sz w:val="17"/>
      </w:rPr>
      <w:t>尼泊尔双业务线商业审计 | 讨论稿 | 2026-08-29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Hiragino Sans GB" w:hAnsi="Hiragino Sans GB" w:eastAsia="Hiragino Sans G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Hiragino Sans GB" w:hAnsi="Hiragino Sans GB" w:eastAsia="Hiragino Sans G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reportal.com/reports/digital-2026-nepal" TargetMode="External"/><Relationship Id="rId12" Type="http://schemas.openxmlformats.org/officeDocument/2006/relationships/hyperlink" Target="https://ads.tiktok.com/help/article/tiktok-shopping-and-showcase?lang=en" TargetMode="External"/><Relationship Id="rId13" Type="http://schemas.openxmlformats.org/officeDocument/2006/relationships/hyperlink" Target="https://ads.tiktok.com/resources/help/article/tiktok-ads-policy-alcohol?lang=es-419" TargetMode="External"/><Relationship Id="rId14" Type="http://schemas.openxmlformats.org/officeDocument/2006/relationships/hyperlink" Target="https://adboard.gov.np/" TargetMode="External"/><Relationship Id="rId15" Type="http://schemas.openxmlformats.org/officeDocument/2006/relationships/hyperlink" Target="https://hmis.gov.np/posts/single/the-public-health-service-act-2075-2018" TargetMode="External"/><Relationship Id="rId16" Type="http://schemas.openxmlformats.org/officeDocument/2006/relationships/hyperlink" Target="https://cdn.who.int/media/docs/default-source/nepal-documents/procurement/tor_monitoring-of-alcohol-advertising--sponsorship-and-promotion-in-nepal_16-march_nepal.pdf?sfvrsn=6787aacd_1" TargetMode="External"/><Relationship Id="rId17" Type="http://schemas.openxmlformats.org/officeDocument/2006/relationships/hyperlink" Target="https://apnews.com/article/nepal-ban-social-media-platform-3b42bbbd07bc9b97acb4df09d42029d5" TargetMode="External"/><Relationship Id="rId18" Type="http://schemas.openxmlformats.org/officeDocument/2006/relationships/hyperlink" Target="https://www.cheers.com.np/" TargetMode="External"/><Relationship Id="rId19" Type="http://schemas.openxmlformats.org/officeDocument/2006/relationships/hyperlink" Target="https://drinksnepal.com/" TargetMode="External"/><Relationship Id="rId20" Type="http://schemas.openxmlformats.org/officeDocument/2006/relationships/hyperlink" Target="https://kathmandusuppliers.com.np/frozen-prawn" TargetMode="External"/><Relationship Id="rId21" Type="http://schemas.openxmlformats.org/officeDocument/2006/relationships/hyperlink" Target="https://www.muncha.com/90769/I/Bajeko-Raw-Frozen-Prawn-1620-1-kg" TargetMode="External"/><Relationship Id="rId22" Type="http://schemas.openxmlformats.org/officeDocument/2006/relationships/hyperlink" Target="https://trendeconomy.com/data/h2/Nepal/03" TargetMode="External"/><Relationship Id="rId23" Type="http://schemas.openxmlformats.org/officeDocument/2006/relationships/hyperlink" Target="https://trendeconomy.com/data/h2/Nepal/0306" TargetMode="External"/><Relationship Id="rId24" Type="http://schemas.openxmlformats.org/officeDocument/2006/relationships/hyperlink" Target="https://foodmandu.com/Restaurant/Details/948" TargetMode="External"/><Relationship Id="rId25" Type="http://schemas.openxmlformats.org/officeDocument/2006/relationships/hyperlink" Target="https://valleycoldstore.com.np/shop" TargetMode="External"/><Relationship Id="rId26" Type="http://schemas.openxmlformats.org/officeDocument/2006/relationships/hyperlink" Target="https://sewapoint.com/blogs/popular-seafood-suppliers-in-kathmandu-valley/" TargetMode="External"/><Relationship Id="rId27" Type="http://schemas.openxmlformats.org/officeDocument/2006/relationships/hyperlink" Target="https://www.customs.gov.np/content/10/statistics-a--and-2081-82/" TargetMode="External"/><Relationship Id="rId28" Type="http://schemas.openxmlformats.org/officeDocument/2006/relationships/hyperlink" Target="https://www.nrb.org.np/download-forex/" TargetMode="External"/><Relationship Id="rId29" Type="http://schemas.openxmlformats.org/officeDocument/2006/relationships/hyperlink" Target="https://trade.ntb.gov.np/wp-content/uploads/2026/02/Nepal-Tourism-Insights-January-2026.pdf" TargetMode="External"/><Relationship Id="rId30" Type="http://schemas.openxmlformats.org/officeDocument/2006/relationships/hyperlink" Target="https://wits.worldbank.org/trade/comtrade/en/country/NPL/year/2022/tradeflow/Imports/partner/ALL/product/2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尼泊尔汾酒与高端海鲜商业审计报告</dc:title>
  <dc:subject>AI+线上销售与TikTok机会假设的可证伪审计</dc:subject>
  <dc:creator>Codex</dc:creator>
  <cp:keywords/>
  <dc:description>基于本地项目事实和公开资料；不构成法律或投资意见。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